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post-trade operations with hybrid model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Trade settlement has long been the quiet engine of markets, absorbing operational strain away from the front office. That relative invisibility is changing as agentic artificial intelligence moves from lab experiments into production environments, prompting firms to rethink how much autonomy to grant machines that can act, not just advise.</w:t>
      </w:r>
      <w:r/>
    </w:p>
    <w:p>
      <w:r/>
      <w:r>
        <w:t>Agentic AI in post-trade is more than conversational assistants. According to a Deloitte report, firms are piloting bots that parse confirmations, perform screening and KYC tasks, generate payment instructions and even execute validation and payouts within predefined controls. Those capabilities extend to email triage, exception flagging and automated decisioning for routine cases, reducing manual interventions for high-volume, rule-based work.</w:t>
      </w:r>
      <w:r/>
    </w:p>
    <w:p>
      <w:r/>
      <w:r>
        <w:t>The technical case for automation is compelling. Machine learning can detect recurring exception patterns and cluster root causes faster than manual review, while natural language models extract structured data from unformatted paperwork. Industry vendors claim AI-driven pre-settlement matching and anomaly detection can materially lower fail rates and shorten resolution times; Finastra’s Summit solution was singled out for winning an industry award for its AI-enabled pre-settlement matching. Montran and other providers describe adaptive sequencing and forecasting logic that optimises liquidity and maximises throughput as markets move toward shorter cycles such as T+1.</w:t>
      </w:r>
      <w:r/>
    </w:p>
    <w:p>
      <w:r/>
      <w:r>
        <w:t>Large-scale surveys back this momentum. A Citi survey of industry participants finds widespread experimentation with generative AI , with the majority of firms piloting solutions for onboarding and post-trade reporting , and predicts tokenisation and stablecoins will reshape collateral efficiency, projecting that up to 10% of global market turnover could be tokenised by 2030. Citi’s broader whitepaper similarly highlights that most firms are prioritising T+1 readiness and view AI as central to meeting accelerated settlement requirements.</w:t>
      </w:r>
      <w:r/>
    </w:p>
    <w:p>
      <w:r/>
      <w:r>
        <w:t>Yet the shift is not merely technological; it is organisational and regulatory. The operational gains apply most cleanly to the structured majority of settlement work, where consistency eclipses judgement. Where complexity arises , corporate actions, cross-border regulatory divergence, counterparty disputes, or stressed liquidity , decisions carry consequences that extend to capital, client relationships and systemic risk. The Federal Reserve Bank of Atlanta has warned that agentic systems, while able to pick payment routes or trigger recurring settlements against liquidity thresholds, introduce cyber and model-risk vectors that demand robust oversight.</w:t>
      </w:r>
      <w:r/>
    </w:p>
    <w:p>
      <w:r/>
      <w:r>
        <w:t>That tension has shaped an emerging operating model: agentic systems handle scale and routine exception management; managed services and specialist middle- and back-office teams define tolerance bands, monitor model drift and audit automated outcomes; internal operations, risk and legal functions retain authority over judgement-heavy escalations. Deloitte’s analysis points to precisely this hybrid approach, describing automation that keeps humans in the loop for exceptions that breach thresholds or raise policy issues.</w:t>
      </w:r>
      <w:r/>
    </w:p>
    <w:p>
      <w:r/>
      <w:r>
        <w:t>Governance, not capability, is the gating factor. Regulators and risk teams will require traceability and explainability; “the model decided” will not suffice as an explanation for a settlement breakdown. Firms advancing automation are investing in audit trails, override mechanisms and reporting frameworks to ensure decisions are reproducible and accountability remains clear. Those that treat AI deployment as an operating-model redesign rather than a point technology project are the most likely to scale safely.</w:t>
      </w:r>
      <w:r/>
    </w:p>
    <w:p>
      <w:r/>
      <w:r>
        <w:t>Practical limits persist. Industry commentators note that autonomy without tight controls can create fragility, while heavy-handed oversight can neutralise efficiency gains. Payments firms and card networks have demonstrated how agentic AI can optimise routing under objectives such as speed or cost, but those examples also underscore the need for rigorous risk management programmes, as the Atlanta Fed emphasises.</w:t>
      </w:r>
      <w:r/>
    </w:p>
    <w:p>
      <w:r/>
      <w:r>
        <w:t>The trajectory is unmistakable: AI will assume a far larger role in settlement, reconciliation and collateral management, helping firms meet the demands of faster cycles and new market structures. According to vendor and consultancy reports, these tools can reduce manual workload, improve liquidity usage and lower operational drag. The decisive shift will be whether organisations are prepared to redesign governance, control frameworks and operating models to integrate agentic systems without abdicating human accountability.</w:t>
      </w:r>
      <w:r/>
    </w:p>
    <w:p>
      <w:r/>
      <w:r>
        <w:t>Autonomous settlement in the pure sense is unlikely to arrive in the near term. Instead, the industry is moving toward an architected hybrid: agentic AI to manage scale and predictability, specialised teams to enforce discipline and interpret nuance, and internal stakeholders to carry final responsibility for risk-sensitive outcomes. That balance will determine whether the efficiency gains promised by AI are realised without increasing systemic or firm-level exposure.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https://blog.ionixxtech.com/are-we-ready-to-let-ai-run-trade-settlement/</w:t>
        </w:r>
      </w:hyperlink>
      <w:r>
        <w:t xml:space="preserve"> - Please view link - unable to able to access data</w:t>
      </w:r>
      <w:r/>
    </w:p>
    <w:p>
      <w:pPr>
        <w:pStyle w:val="ListNumber"/>
        <w:spacing w:line="240" w:lineRule="auto"/>
        <w:ind w:left="720"/>
      </w:pPr>
      <w:r/>
      <w:hyperlink r:id="rId11">
        <w:r>
          <w:rPr>
            <w:color w:val="0000EE"/>
            <w:u w:val="single"/>
          </w:rPr>
          <w:t>https://www.deloitte.com/content/dam/assets-zone1/in/en/docs/services/risk-regulatory-forensic/2025/in-rrf-reimagining-post-trade-services.pdf</w:t>
        </w:r>
      </w:hyperlink>
      <w:r>
        <w:t xml:space="preserve"> - Deloitte's report discusses the transformation of post-trade services through automation and AI. It highlights the adoption of AI bots in processes like KYC, screening, transaction monitoring, and AML, which automate tasks such as screening checks, document collection, and exception flagging. AI agents handle counterparty confirmations by parsing trade details and triggering electronic confirmations. Additionally, AI enhances email processing by reading, classifying, and recommending actions on inbound communications, executing decisions like amendments or rejections, and involving humans only in exceptional cases exceeding predefined thresholds. In settlements, AI generates payment instructions based on historical counterparty transactions, applies automated validations, and controls payouts, reducing manual effort and improving liquidity management. The report also notes the increased efficiency in clearing and netting processes through electronic netting platforms and API-based integration with clearing houses, enabling real-time netting and margin updates. Horizontal utilities such as reconciliations and collateral management support these functions by utilizing automated transaction matching, anomaly detection, and repeated user actions through machine learning.</w:t>
      </w:r>
      <w:r/>
    </w:p>
    <w:p>
      <w:pPr>
        <w:pStyle w:val="ListNumber"/>
        <w:spacing w:line="240" w:lineRule="auto"/>
        <w:ind w:left="720"/>
      </w:pPr>
      <w:r/>
      <w:hyperlink r:id="rId12">
        <w:r>
          <w:rPr>
            <w:color w:val="0000EE"/>
            <w:u w:val="single"/>
          </w:rPr>
          <w:t>https://www.coindesk.com/business/2025/09/02/citi-says-stablecoins-and-ai-could-drive-post-trade-shakeup/</w:t>
        </w:r>
      </w:hyperlink>
      <w:r>
        <w:t xml:space="preserve"> - Citi's survey of 537 industry leaders indicates that digital assets and AI are poised to transform the post-trade industry. The survey projects that by 2030, 10% of global market turnover could be tokenized, primarily through bank-issued stablecoins, enhancing collateral efficiency and facilitating fund tokenization. The report also highlights that 86% of firms are piloting generative AI, with client onboarding and post-trade reporting as key use cases. The adoption of AI is seen as crucial for firms aiming to meet the challenges of accelerated settlement cycles, such as T+1, by improving speed and automation in post-trade processes.</w:t>
      </w:r>
      <w:r/>
    </w:p>
    <w:p>
      <w:pPr>
        <w:pStyle w:val="ListNumber"/>
        <w:spacing w:line="240" w:lineRule="auto"/>
        <w:ind w:left="720"/>
      </w:pPr>
      <w:r/>
      <w:hyperlink r:id="rId13">
        <w:r>
          <w:rPr>
            <w:color w:val="0000EE"/>
            <w:u w:val="single"/>
          </w:rPr>
          <w:t>https://www.finastra.com/viewpoints/articles/finastras-summit-wins-best-ai-enabled-app-capital-markets-ai-capital-markets</w:t>
        </w:r>
      </w:hyperlink>
      <w:r>
        <w:t xml:space="preserve"> - Finastra's Summit solution was awarded 'Best AI-Enabled App for Capital Markets' at the AI in Capital Markets Awards. The award recognises Summit's innovative use of AI to automate and streamline post-trade operations, particularly its AI-powered pre-settlement matching capability. This feature efficiently handles complex unstructured data, boosting accuracy and mitigating operational risk, which is increasingly critical as the industry moves towards shorter settlement cycles like T+1.</w:t>
      </w:r>
      <w:r/>
    </w:p>
    <w:p>
      <w:pPr>
        <w:pStyle w:val="ListNumber"/>
        <w:spacing w:line="240" w:lineRule="auto"/>
        <w:ind w:left="720"/>
      </w:pPr>
      <w:r/>
      <w:hyperlink r:id="rId14">
        <w:r>
          <w:rPr>
            <w:color w:val="0000EE"/>
            <w:u w:val="single"/>
          </w:rPr>
          <w:t>https://www.atlantafed.org/research-and-data/publications/take-on-payments/2025/12/08/big-firms-bet-on-agentic-artificial-intelligence-in-payments</w:t>
        </w:r>
      </w:hyperlink>
      <w:r>
        <w:t xml:space="preserve"> - The Federal Reserve Bank of Atlanta discusses the growing adoption of agentic AI in payment systems. It highlights how firms like PayPal, Mastercard, and Visa are integrating agentic AI to optimise payment workflows, enhance fraud prevention, and improve customer experiences. The article notes that agentic AI can autonomously choose payment routes based on predefined objectives, such as cost, speed, liquidity, or fraud risk, and can trigger recurring settlements when liquidity thresholds are met. However, it also cautions about potential cybersecurity risks and the need for robust risk management programs when implementing agentic AI.</w:t>
      </w:r>
      <w:r/>
    </w:p>
    <w:p>
      <w:pPr>
        <w:pStyle w:val="ListNumber"/>
        <w:spacing w:line="240" w:lineRule="auto"/>
        <w:ind w:left="720"/>
      </w:pPr>
      <w:r/>
      <w:hyperlink r:id="rId15">
        <w:r>
          <w:rPr>
            <w:color w:val="0000EE"/>
            <w:u w:val="single"/>
          </w:rPr>
          <w:t>https://www.citigroup.com/global/news/press-release/2025/citi-whitepaper-global-post-trade-industry-poised-for-further-transformation-driven-by-digital-assets-accelerated-settlements-and-the-adoption-of-ai</w:t>
        </w:r>
      </w:hyperlink>
      <w:r>
        <w:t xml:space="preserve"> - Citi's whitepaper outlines how the global post-trade industry is set for transformation through digital assets, accelerated settlements, and AI adoption. It highlights that 10% of global market turnover is expected to be tokenized by 2030, with 76% of respondents actively working on T+1 initiatives in 2025. The report emphasises the importance of AI in driving efficiencies and innovation in post-trade processes, enabling firms to meet the challenges of faster settlement cycles and enhanced operational resilience.</w:t>
      </w:r>
      <w:r/>
    </w:p>
    <w:p>
      <w:pPr>
        <w:pStyle w:val="ListNumber"/>
        <w:spacing w:line="240" w:lineRule="auto"/>
        <w:ind w:left="720"/>
      </w:pPr>
      <w:r/>
      <w:hyperlink r:id="rId16">
        <w:r>
          <w:rPr>
            <w:color w:val="0000EE"/>
            <w:u w:val="single"/>
          </w:rPr>
          <w:t>https://www.montran.com/resources/ai-in-action-optimizing-liquidity-settlement-collateral/</w:t>
        </w:r>
      </w:hyperlink>
      <w:r>
        <w:t xml:space="preserve"> - Montran discusses the role of AI in optimising liquidity, settlement, and collateral management. It highlights how AI can anticipate settlement failures, optimise settlement instruction sequencing to maximise throughput, and accelerate reconciliation through anomaly detection. The article also notes that as the industry migrates to faster settlement cycles like T+1, AI provides adaptive logic to forecast stress points and smooth processing, leading to reduced settlement risk, faster completion, and lower operational overhead.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ionixxtech.com/are-we-ready-to-let-ai-run-trade-settlement/" TargetMode="External"/><Relationship Id="rId11" Type="http://schemas.openxmlformats.org/officeDocument/2006/relationships/hyperlink" Target="https://www.deloitte.com/content/dam/assets-zone1/in/en/docs/services/risk-regulatory-forensic/2025/in-rrf-reimagining-post-trade-services.pdf" TargetMode="External"/><Relationship Id="rId12" Type="http://schemas.openxmlformats.org/officeDocument/2006/relationships/hyperlink" Target="https://www.coindesk.com/business/2025/09/02/citi-says-stablecoins-and-ai-could-drive-post-trade-shakeup/" TargetMode="External"/><Relationship Id="rId13" Type="http://schemas.openxmlformats.org/officeDocument/2006/relationships/hyperlink" Target="https://www.finastra.com/viewpoints/articles/finastras-summit-wins-best-ai-enabled-app-capital-markets-ai-capital-markets" TargetMode="External"/><Relationship Id="rId14" Type="http://schemas.openxmlformats.org/officeDocument/2006/relationships/hyperlink" Target="https://www.atlantafed.org/research-and-data/publications/take-on-payments/2025/12/08/big-firms-bet-on-agentic-artificial-intelligence-in-payments" TargetMode="External"/><Relationship Id="rId15" Type="http://schemas.openxmlformats.org/officeDocument/2006/relationships/hyperlink" Target="https://www.citigroup.com/global/news/press-release/2025/citi-whitepaper-global-post-trade-industry-poised-for-further-transformation-driven-by-digital-assets-accelerated-settlements-and-the-adoption-of-ai" TargetMode="External"/><Relationship Id="rId16" Type="http://schemas.openxmlformats.org/officeDocument/2006/relationships/hyperlink" Target="https://www.montran.com/resources/ai-in-action-optimizing-liquidity-settlement-collater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