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From experimentation to enterprise: how agentic AI is transforming business operations at scale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much of the last decade organisations treated artificial intelligence as an experimental capability to be trialled cautiously: small pilots, contained budgets and narrow use cases that allowed teams to learn while keeping disruption to a minimum. That pattern is breaking. What was once a tentative exploration has become an operational imperative as businesses move from proof-of-concept demonstrations to deploying task‑oriented AI agents across everyday workflows.</w:t>
      </w:r>
      <w:r/>
    </w:p>
    <w:p>
      <w:r/>
      <w:r>
        <w:t>According to a 2025 study from MIT, the spread of generative AI has been rapid, yet only a small minority of firms translate experimentation into sustained outcomes when automation is not embedded in core processes. TechRadar Pro’s reporting finds those dynamics shifting: benchmarking now shows a large share of agentic automation projects are delivering measurable value, and many organisations are already treating autonomous systems as part of the workforce rather than peripheral pilots.</w:t>
      </w:r>
      <w:r/>
    </w:p>
    <w:p>
      <w:r/>
      <w:r>
        <w:t>The manifest change is the rise of agentic systems that can analyse information, trigger processes and take limited decisions with minimal human oversight. Industry briefings indicate companies typically run dozens of such agents today, with plans to expand further. Researchers and vendors alike describe this as the emergence of a digital workforce: software agents taking on repetitive, time‑consuming tasks so human staff can concentrate on strategic work, creative problem‑solving and higher‑value interactions.</w:t>
      </w:r>
      <w:r/>
    </w:p>
    <w:p>
      <w:r/>
      <w:r>
        <w:t>That promise, however, sits beside persistent obstacles. Multiple guides and analyses warn that a majority of pilots still fail to progress into production because of data shortcomings, governance gaps and weak executive alignment. Archool’s 2025 adoption guide noted that more than 60% of pilots stumble at the handover to operational systems. CDW’s guidance stresses that moving to scale requires treating AI as an operating‑model change rather than a one‑off project, with investment in data foundations, security and infrastructure.</w:t>
      </w:r>
      <w:r/>
    </w:p>
    <w:p>
      <w:r/>
      <w:r>
        <w:t>As deployments multiply, companies face an organisational challenge commonly labelled “automation sprawl”. Uncoordinated rollouts by separate teams can create duplicated effort, conflicting processes and opaque reporting. TechTarget’s coverage highlights that scaling AI successfully depends on disciplined architecture, enforced governance and defined accountability so that agents complement existing systems rather than fragment them.</w:t>
      </w:r>
      <w:r/>
    </w:p>
    <w:p>
      <w:r/>
      <w:r>
        <w:t>Trust has become the dominant barrier to widescale adoption. Budget constraints have receded as the primary concern; instead, leaders increasingly ask whether agentic systems are safe, auditable and controllable. Vendors sometimes overstate capabilities, and analysts caution that without robust risk controls and clear performance thresholds many projects will underdeliver. Gartner and other market watchers warn of significant failure rates unless organisations prioritise explainability, monitoring and intervention mechanisms.</w:t>
      </w:r>
      <w:r/>
    </w:p>
    <w:p>
      <w:r/>
      <w:r>
        <w:t>The strategic rationale for the shift is speed. A growing number of companies see agentic automation as a lever to accelerate product development and time to market by removing bottlenecks in routine processes. TechRadar’s reporting and concurrent industry analyses argue that when agents are woven into end‑to‑end workflows they not only save staff hours but also enable faster iteration, testing and deployment of new services.</w:t>
      </w:r>
      <w:r/>
    </w:p>
    <w:p>
      <w:r/>
      <w:r>
        <w:t>Architecturally, multi‑agent orchestration is emerging as the dominant pattern in larger enterprises. Recent market reporting shows many Global 2000 firms have moved beyond pilots into multi‑agent production environments, and analysts expect the agentic AI market to expand considerably in the coming decade. Yet the differentiator between success and costly disappointment will be the extent to which organisations enforce interoperability, shared data models and central oversight.</w:t>
      </w:r>
      <w:r/>
    </w:p>
    <w:p>
      <w:r/>
      <w:r>
        <w:t>Practical next steps for leaders aiming to scale include establishing clear governance frameworks, defining measurable business‑level outcomes, investing in data readiness and treating orchestration as a platform problem rather than a collection of point solutions. CDW and TechTarget both emphasise cross‑functional sponsorship and enterprise architecture alignment as prerequisites for turning pilots into mission‑critical capabilities.</w:t>
      </w:r>
      <w:r/>
    </w:p>
    <w:p>
      <w:r/>
      <w:r>
        <w:t>The cumulative lesson is straightforward: the question for business leaders has shifted from whether to experiment with agentic AI to how to adopt it responsibly, coherently and at pace. Those that align technology, processes and accountability stand to gain a durable productivity advantage; those that do not risk fragmentation, wasted investment and unmet expectations.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https://www.techradar.com/pro/the-pilot-phase-is-over-heres-whats-next-for-enterprise-ai-automation</w:t>
        </w:r>
      </w:hyperlink>
      <w:r>
        <w:t xml:space="preserve"> - Please view link - unable to able to access data</w:t>
      </w:r>
      <w:r/>
    </w:p>
    <w:p>
      <w:pPr>
        <w:pStyle w:val="ListNumber"/>
        <w:spacing w:line="240" w:lineRule="auto"/>
        <w:ind w:left="720"/>
      </w:pPr>
      <w:r/>
      <w:hyperlink r:id="rId11">
        <w:r>
          <w:rPr>
            <w:color w:val="0000EE"/>
            <w:u w:val="single"/>
          </w:rPr>
          <w:t>https://www.techradar.com/pro/2026-the-year-enterprise-ai-finally-gets-to-work</w:t>
        </w:r>
      </w:hyperlink>
      <w:r>
        <w:t xml:space="preserve"> - In 2026, enterprise AI is expected to transition from experimental tools to trusted digital coworkers embedded in daily business operations. Analysts forecast that nearly half of enterprise applications will incorporate task-specific AI agents, driven by advancements in contextual memory, local on-device processing, and workflow automation. Success hinges on integration that moves from passive understanding to proactive, accountable action within existing software environments. Key drivers for this shift include the elimination of operational inefficiencies by automating mundane tasks, enhanced contextual understanding that enables agents to act intelligently like trained employees, and a growing emphasis on privacy and security through local data processing. Additionally, voice-based input is catalyzing real-time action across platforms, and AI agents are becoming personalized knowledge hubs — central to a user's digital professional life. However, challenges remain. Trust is a barrier, with many vendors overstating their capabilities. Gartner predicts over 40% of AI agent projects may fail by 2027 due to high costs, poor ROI, or weak risk controls. The differentiator for success will be proving tangible business value, robust security, and ensuring privacy. The article stresses that the future of AI at work will depend not on whether to use AI, but how to responsibly and effectively integrate it into workflows.</w:t>
      </w:r>
      <w:r/>
    </w:p>
    <w:p>
      <w:pPr>
        <w:pStyle w:val="ListNumber"/>
        <w:spacing w:line="240" w:lineRule="auto"/>
        <w:ind w:left="720"/>
      </w:pPr>
      <w:r/>
      <w:hyperlink r:id="rId12">
        <w:r>
          <w:rPr>
            <w:color w:val="0000EE"/>
            <w:u w:val="single"/>
          </w:rPr>
          <w:t>https://www.archool.com/enterprise-ai-automation-adoption-guide-2025/</w:t>
        </w:r>
      </w:hyperlink>
      <w:r>
        <w:t xml:space="preserve"> - This guide discusses the evolution of enterprise AI from pilot projects to full-scale production systems in 2025. It highlights that over 60% of AI pilots fail to transition to production due to challenges like data issues, governance missteps, and lack of executive alignment. The article provides a roadmap for organizations to move from experimentation to mission-critical systems, emphasizing the importance of clear frameworks, accountability, and integration with existing infrastructure. It also addresses the need for organizational change, not just technological adoption, to achieve real transformation.</w:t>
      </w:r>
      <w:r/>
    </w:p>
    <w:p>
      <w:pPr>
        <w:pStyle w:val="ListNumber"/>
        <w:spacing w:line="240" w:lineRule="auto"/>
        <w:ind w:left="720"/>
      </w:pPr>
      <w:r/>
      <w:hyperlink r:id="rId13">
        <w:r>
          <w:rPr>
            <w:color w:val="0000EE"/>
            <w:u w:val="single"/>
          </w:rPr>
          <w:t>https://www.techtarget.com/searcherp/feature/Enterprise-AI-adoption-What-drives-AI-at-scale</w:t>
        </w:r>
      </w:hyperlink>
      <w:r>
        <w:t xml:space="preserve"> - This article explores the factors driving enterprise AI adoption at scale. It emphasizes that AI does not scale through experimentation alone but requires structural integration, governance enforcement, and disciplined architectural alignment. The piece discusses how AI is being integrated into existing systems rather than replacing them outright, strengthening workflows in areas like procurement, HR, and customer service. It also highlights the shift from curiosity to accountability as AI moves from experimentation to operational systems, necessitating defined performance thresholds and active oversight.</w:t>
      </w:r>
      <w:r/>
    </w:p>
    <w:p>
      <w:pPr>
        <w:pStyle w:val="ListNumber"/>
        <w:spacing w:line="240" w:lineRule="auto"/>
        <w:ind w:left="720"/>
      </w:pPr>
      <w:r/>
      <w:hyperlink r:id="rId14">
        <w:r>
          <w:rPr>
            <w:color w:val="0000EE"/>
            <w:u w:val="single"/>
          </w:rPr>
          <w:t>https://www.cdw.com/content/cdw/en/articles/services/enterprise-ai-guide-moving-pilots-production.html</w:t>
        </w:r>
      </w:hyperlink>
      <w:r>
        <w:t xml:space="preserve"> - This guide provides insights into moving enterprise AI from pilots to production. It discusses the challenges organizations face after initial proof-of-concept projects, such as data readiness, governance, security, and infrastructure scale. The article emphasizes that AI initiatives should be treated as an operating model shift, not a one-time experiment, and outlines the importance of building the right strategy, data foundation, and infrastructure to scale AI effectively.</w:t>
      </w:r>
      <w:r/>
    </w:p>
    <w:p>
      <w:pPr>
        <w:pStyle w:val="ListNumber"/>
        <w:spacing w:line="240" w:lineRule="auto"/>
        <w:ind w:left="720"/>
      </w:pPr>
      <w:r/>
      <w:hyperlink r:id="rId15">
        <w:r>
          <w:rPr>
            <w:color w:val="0000EE"/>
            <w:u w:val="single"/>
          </w:rPr>
          <w:t>https://insights.reinventing.ai/articles/openclaw-enterprise-adoption-march-2026-03-16</w:t>
        </w:r>
      </w:hyperlink>
      <w:r>
        <w:t xml:space="preserve"> - This article reports on the acceleration of enterprise AI agent adoption as of March 2026. It reveals that 72% of Global 2000 companies have moved beyond pilot programs into operational deployments, with multi-agent orchestration emerging as the dominant architectural pattern. The piece highlights the decisive shift from cautious exploration to scaled production deployment across core business functions and projects significant growth in the global agentic AI market by 2034.</w:t>
      </w:r>
      <w:r/>
    </w:p>
    <w:p>
      <w:pPr>
        <w:pStyle w:val="ListNumber"/>
        <w:spacing w:line="240" w:lineRule="auto"/>
        <w:ind w:left="720"/>
      </w:pPr>
      <w:r/>
      <w:hyperlink r:id="rId16">
        <w:r>
          <w:rPr>
            <w:color w:val="0000EE"/>
            <w:u w:val="single"/>
          </w:rPr>
          <w:t>https://www.enterpriseaisolutions.io/c/aifrompilottoproduction</w:t>
        </w:r>
      </w:hyperlink>
      <w:r>
        <w:t xml:space="preserve"> - This article discusses the transition of enterprise AI from pilot projects to full-scale adoption. It highlights the shift from 'proof-of-concept' mode to deployment, emphasizing the importance of cross-functional buy-in and the challenges of pilot fatigue. The piece notes that 88% of AI pilots fail to reach production and underscores the need for organizations to move beyond isolated experiments to achieve meaningful value from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the-pilot-phase-is-over-heres-whats-next-for-enterprise-ai-automation" TargetMode="External"/><Relationship Id="rId11" Type="http://schemas.openxmlformats.org/officeDocument/2006/relationships/hyperlink" Target="https://www.techradar.com/pro/2026-the-year-enterprise-ai-finally-gets-to-work" TargetMode="External"/><Relationship Id="rId12" Type="http://schemas.openxmlformats.org/officeDocument/2006/relationships/hyperlink" Target="https://www.archool.com/enterprise-ai-automation-adoption-guide-2025/" TargetMode="External"/><Relationship Id="rId13" Type="http://schemas.openxmlformats.org/officeDocument/2006/relationships/hyperlink" Target="https://www.techtarget.com/searcherp/feature/Enterprise-AI-adoption-What-drives-AI-at-scale" TargetMode="External"/><Relationship Id="rId14" Type="http://schemas.openxmlformats.org/officeDocument/2006/relationships/hyperlink" Target="https://www.cdw.com/content/cdw/en/articles/services/enterprise-ai-guide-moving-pilots-production.html" TargetMode="External"/><Relationship Id="rId15" Type="http://schemas.openxmlformats.org/officeDocument/2006/relationships/hyperlink" Target="https://insights.reinventing.ai/articles/openclaw-enterprise-adoption-march-2026-03-16" TargetMode="External"/><Relationship Id="rId16" Type="http://schemas.openxmlformats.org/officeDocument/2006/relationships/hyperlink" Target="https://www.enterpriseaisolutions.io/c/aifrompilotto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