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Frontline reports strong fourth-quarter earnings amid tanker market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recently held quarterly earnings call for Frontline, a leading company operating in the tanker industry, Chief Executive Officer Lars Barstad provided a comprehensive overview of the company's performance and the current state of the market. The call, attended by various analysts from investment firms such as Evercore ISI, Jefferies LLC, and BTIG, covered significant financial metrics, market trends, and geopolitical factors affecting operations in the sector.</w:t>
      </w:r>
      <w:r/>
    </w:p>
    <w:p>
      <w:r/>
      <w:r>
        <w:t>Barstad opened the discussion by acknowledging the volatility of the tanker market, which is increasingly impacted by shifting geopolitical events. "Being in the tanker industry, one is used to evolving and leverage hanging markets, largely affected by geopolitical events," he noted. The firm remains focused on effectively managing its fleet under these challenging circumstances, emphasising a strategy centred around trading ships wisely while awaiting more concrete outcomes from ongoing geopolitical situations.</w:t>
      </w:r>
      <w:r/>
    </w:p>
    <w:p>
      <w:r/>
      <w:r>
        <w:t>During the call, CFO Inger Klemp reported that Frontline achieved a profit of $66.7 million for the fourth quarter of 2024, translating to $0.30 per share. However, the adjusted profit fell to $45.1 million or $0.20 per share, a decrease of approximately $30 million compared to the previous quarter. This decline was primarily attributed to a reduction in Time Charter Equivalent (TCE) earnings, which were partly mitigated by lower interest expenses. As of the end of the quarter, Frontline's balance sheet remained robust, with a liquidity position of $693 million, bolstered by the absence of newbuilding commitments and no significant debt maturities until 2028.</w:t>
      </w:r>
      <w:r/>
    </w:p>
    <w:p>
      <w:r/>
      <w:r>
        <w:t>Klemp detailed the average daily earnings across the fleet, reporting $35,900 for the Very Large Crude Carrier (VLCC) fleet, $33,400 for the Suezmax fleet, and $26,100 for the LR2/Aframax fleet for the fourth quarter. Furthermore, she indicated that bookings for the third quarter showed promising trends with a significant percentage of the fleet already contracted at elevated daily rates.</w:t>
      </w:r>
      <w:r/>
    </w:p>
    <w:p>
      <w:r/>
      <w:r>
        <w:t>Barstad also highlighted the broader market conditions. Global oil consumption rose to an average of 103.4 million barrels per day in the fourth quarter, expected to reach 104.5 million barrels by the end of 2025. However, the broader economic landscape is being complicated by geopolitical issues such as sanctions, tariffs, and regulatory pressures, which are anticipated to alter trade patterns significantly. Current tanker fleet age averages 13.7 years, prompting discussions about future vessel replacements as almost half the vessels in the fleet are over 15 years old.</w:t>
      </w:r>
      <w:r/>
    </w:p>
    <w:p>
      <w:r/>
      <w:r>
        <w:t>In response to questions regarding recent market developments, Barstad pointed out that the sanctions introduced by the Shandong Port Authority and their alignment with the Office of Foreign Assets Control (OFAC) have significantly impacted the tanker shipping landscape. Changes in routing and potential inefficiencies were discussed as key consequences of these evolving regulations.</w:t>
      </w:r>
      <w:r/>
    </w:p>
    <w:p>
      <w:r/>
      <w:r>
        <w:t>The dialogue also touched on forward bookings, with Barstad explaining how market dynamics have changed the approach to charters in light of recent sanctions. He noted a spike in rates associated with non-sanctioned vessels operating in regions such as the Middle East and expressed optimism for gradual improvements in the tanker market as demand for compliant tonnage rises.</w:t>
      </w:r>
      <w:r/>
    </w:p>
    <w:p>
      <w:r/>
      <w:r>
        <w:t>The call concluded with Barstad reaffirming Frontline's focus on navigating market complexities while remaining engaged in daily operations to maximise fleet utilisation. "It’s extremely exciting times. We're obviously excited to see how these outcomes play out," he stated, leaving analysts and stakeholders to monitor developments in the industry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https://www.seatrade-maritime.com/tankers/frontline-underlying-profit-slips-in-unusually-soft-fourth-quarter</w:t>
        </w:r>
      </w:hyperlink>
      <w:r>
        <w:t xml:space="preserve"> - This article supports the claim that Frontline's profit for the fourth quarter of 2024 was $66.7 million and that the adjusted profit decreased due to lower TCE earnings. It also mentions the impact of geopolitical events on the tanker market.</w:t>
      </w:r>
      <w:r/>
    </w:p>
    <w:p>
      <w:pPr>
        <w:pStyle w:val="ListNumber"/>
        <w:spacing w:line="240" w:lineRule="auto"/>
        <w:ind w:left="720"/>
      </w:pPr>
      <w:r/>
      <w:hyperlink r:id="rId11">
        <w:r>
          <w:rPr>
            <w:color w:val="0000EE"/>
            <w:u w:val="single"/>
          </w:rPr>
          <w:t>https://www.hellenicshippingnews.com/frontline-expects-lower-spot-tanker-rates-for-the-full-first-quarter-of-2025/</w:t>
        </w:r>
      </w:hyperlink>
      <w:r>
        <w:t xml:space="preserve"> - This article corroborates Frontline's financial performance for the fourth quarter of 2024, including the profit and adjusted profit figures, as well as the average daily earnings for different types of tankers.</w:t>
      </w:r>
      <w:r/>
    </w:p>
    <w:p>
      <w:pPr>
        <w:pStyle w:val="ListNumber"/>
        <w:spacing w:line="240" w:lineRule="auto"/>
        <w:ind w:left="720"/>
      </w:pPr>
      <w:r/>
      <w:hyperlink r:id="rId9">
        <w:r>
          <w:rPr>
            <w:color w:val="0000EE"/>
            <w:u w:val="single"/>
          </w:rPr>
          <w:t>https://www.noahwire.com</w:t>
        </w:r>
      </w:hyperlink>
      <w:r>
        <w:t xml:space="preserve"> - This source provides the original context for the quarterly earnings call, including discussions on market trends and geopolitical factors affecting the tanker industry.</w:t>
      </w:r>
      <w:r/>
    </w:p>
    <w:p>
      <w:pPr>
        <w:pStyle w:val="ListNumber"/>
        <w:spacing w:line="240" w:lineRule="auto"/>
        <w:ind w:left="720"/>
      </w:pPr>
      <w:r/>
      <w:hyperlink r:id="rId12">
        <w:r>
          <w:rPr>
            <w:color w:val="0000EE"/>
            <w:u w:val="single"/>
          </w:rPr>
          <w:t>https://www.bloomberg.com/markets/companies/company/00134T:OS</w:t>
        </w:r>
      </w:hyperlink>
      <w:r>
        <w:t xml:space="preserve"> - This Bloomberg page could provide additional financial data and market analysis for Frontline, supporting the discussion on its financial performance and market trends.</w:t>
      </w:r>
      <w:r/>
    </w:p>
    <w:p>
      <w:pPr>
        <w:pStyle w:val="ListNumber"/>
        <w:spacing w:line="240" w:lineRule="auto"/>
        <w:ind w:left="720"/>
      </w:pPr>
      <w:r/>
      <w:hyperlink r:id="rId13">
        <w:r>
          <w:rPr>
            <w:color w:val="0000EE"/>
            <w:u w:val="single"/>
          </w:rPr>
          <w:t>https://www.reuters.com/business/energy-oil-gas</w:t>
        </w:r>
      </w:hyperlink>
      <w:r>
        <w:t xml:space="preserve"> - Reuters often reports on global energy trends, including oil consumption and geopolitical impacts on the tanker industry, which aligns with the broader market conditions discussed in the earnings call.</w:t>
      </w:r>
      <w:r/>
    </w:p>
    <w:p>
      <w:pPr>
        <w:pStyle w:val="ListNumber"/>
        <w:spacing w:line="240" w:lineRule="auto"/>
        <w:ind w:left="720"/>
      </w:pPr>
      <w:r/>
      <w:hyperlink r:id="rId14">
        <w:r>
          <w:rPr>
            <w:color w:val="0000EE"/>
            <w:u w:val="single"/>
          </w:rPr>
          <w:t>https://www.maritime-executive.com/article/frontline-looks-to-sanctions-for-boost-in-tanker-market</w:t>
        </w:r>
      </w:hyperlink>
      <w:r>
        <w:t xml:space="preserve"> - This article might discuss how sanctions affect the tanker market, aligning with Barstad's comments on the impact of sanctions and changes in trade patterns.</w:t>
      </w:r>
      <w:r/>
    </w:p>
    <w:p>
      <w:pPr>
        <w:pStyle w:val="ListNumber"/>
        <w:spacing w:line="240" w:lineRule="auto"/>
        <w:ind w:left="720"/>
      </w:pPr>
      <w:r/>
      <w:hyperlink r:id="rId15">
        <w:r>
          <w:rPr>
            <w:color w:val="0000EE"/>
            <w:u w:val="single"/>
          </w:rPr>
          <w:t>https://ca.finance.yahoo.com/news/q4-2024-frontline-plc-preliminary-045819478.html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trade-maritime.com/tankers/frontline-underlying-profit-slips-in-unusually-soft-fourth-quarter" TargetMode="External"/><Relationship Id="rId11" Type="http://schemas.openxmlformats.org/officeDocument/2006/relationships/hyperlink" Target="https://www.hellenicshippingnews.com/frontline-expects-lower-spot-tanker-rates-for-the-full-first-quarter-of-2025/" TargetMode="External"/><Relationship Id="rId12" Type="http://schemas.openxmlformats.org/officeDocument/2006/relationships/hyperlink" Target="https://www.bloomberg.com/markets/companies/company/00134T:OS" TargetMode="External"/><Relationship Id="rId13" Type="http://schemas.openxmlformats.org/officeDocument/2006/relationships/hyperlink" Target="https://www.reuters.com/business/energy-oil-gas" TargetMode="External"/><Relationship Id="rId14" Type="http://schemas.openxmlformats.org/officeDocument/2006/relationships/hyperlink" Target="https://www.maritime-executive.com/article/frontline-looks-to-sanctions-for-boost-in-tanker-market" TargetMode="External"/><Relationship Id="rId15" Type="http://schemas.openxmlformats.org/officeDocument/2006/relationships/hyperlink" Target="https://ca.finance.yahoo.com/news/q4-2024-frontline-plc-preliminary-04581947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