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contract management technology key to enforcing EU sustainability laws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integration of sustainability provisions in contracts is becoming increasingly prevalent as businesses strive to meet new legislative standards, such as the European Union’s Corporate Sustainability Due Diligence Directive (CSDDD). This directive mandates companies to identify and mitigate human rights abuses and environmental impacts within their supply chains. In the wake of rising consumer and regulatory demands, companies are now under pressure to ensure that their contractual obligations not only protect their interests but also promote sustainable practices. </w:t>
      </w:r>
      <w:r/>
    </w:p>
    <w:p>
      <w:r/>
      <w:r>
        <w:t xml:space="preserve">One of the driving forces behind this trend is the imperative for companies to manage legal risk more effectively. With purchasers increasingly requiring suppliers to embed sustainability clauses in their contracts, the effect of a single company’s initiatives can reverberate throughout a supply chain. This feedback loop enhances overall compliance and encourages a collective movement towards having sustainability integrated into the very fabric of business operations. The push for companies to adopt these practices comes against a backdrop of ongoing uncertainties about enforcement; however, there is an observable shift in market sentiment towards taking these provisions seriously. </w:t>
      </w:r>
      <w:r/>
    </w:p>
    <w:p>
      <w:r/>
      <w:r>
        <w:t>Legal contract management (LCM) technology is positioned as a vital tool for businesses navigating the complexities of contract compliance. The traditional view that supply contracts are merely a single document is misleading; they are often a collection of various agreements, emails, and amendments which can create confusion. Centralising these documents within an LCM platform allows legal and compliance teams to maintain oversight and realise efficiencies in contract administration. The technology not only ensures greater visibility into contractual obligations but also automates workflows that streamline processes like creation, approval, and renewal.</w:t>
      </w:r>
      <w:r/>
    </w:p>
    <w:p>
      <w:r/>
      <w:r>
        <w:t>A heightened focus on sustainability provisions is underscored by recent critiques of reductions in regulatory oversight. Legal scholars have expressed concerns that proposed changes by the European Commission to sustainability reporting requirements could expose businesses to greater legal risks, particularly in climate-related litigations. These warnings highlight the critical need for businesses not just to establish sustainability commitments on paper, but to rigorously enforce them. The lack of enforceable transition plans resulting from regulatory rollbacks could lead companies down a perilous path where they face lawsuits regarding non-compliance with climate obligations.</w:t>
      </w:r>
      <w:r/>
    </w:p>
    <w:p>
      <w:r/>
      <w:r>
        <w:t>Investor groups, too, have voiced apprehensions regarding potential regulatory rollbacks, fearing that reduced requirements on sustainability disclosures will impede access to vital information that underpins investment decisions. The European Fund and Asset Management Association (EFAMA) argues that while there may be a case for simplifying regulations, essential information regarding environmental and human rights risks must remain accessible to support Europe’s climate goals.</w:t>
      </w:r>
      <w:r/>
    </w:p>
    <w:p>
      <w:r/>
      <w:r>
        <w:t>These evolving regulatory landscapes, such as those introduced by the CSDDD which takes effect in 2027, necessitate that companies implement robust compliance strategies, as the consequences of non-compliance range from significant fines to reputational damage. The directive applies to thousands of firms, including both EU-based companies and significant non-EU players, demanding a comprehensive mapping of supply chains for potential risks.</w:t>
      </w:r>
      <w:r/>
    </w:p>
    <w:p>
      <w:r/>
      <w:r>
        <w:t>In this context, LCM technology emerges not only as a facilitative tool but as a transformative application that can help companies navigate the challenging terrain of sustainability compliance. By centralising access to sustainability-related provisions within their contracts, businesses can prioritise actions based on regulatory obligations and internal commitments. The trend emphasises that companies must pivot from merely agreeing to sustainability terms to actively enforcing them, thereby leveraging technology to enhance compliance and accountability.</w:t>
      </w:r>
      <w:r/>
    </w:p>
    <w:p>
      <w:r/>
      <w:r>
        <w:t>As this landscape continues to evolve, with potential repercussions for various stakeholders, including suppliers and countries dependent on European trade, the ability to manage contracts effectively will remain integral. The complexities surrounding sustainability-related compliance make it evident that technological solutions are not just beneficial, but essential for navigating a marketplace increasingly defined by sustainability commitments and legal obligations.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11">
        <w:r>
          <w:rPr>
            <w:color w:val="0000EE"/>
            <w:u w:val="single"/>
          </w:rPr>
          <w:t>[2]</w:t>
        </w:r>
      </w:hyperlink>
      <w:r>
        <w:t xml:space="preserve">, </w:t>
      </w:r>
      <w:hyperlink r:id="rId13">
        <w:r>
          <w:rPr>
            <w:color w:val="0000EE"/>
            <w:u w:val="single"/>
          </w:rPr>
          <w:t>[3]</w:t>
        </w:r>
      </w:hyperlink>
      <w:r/>
    </w:p>
    <w:p>
      <w:pPr>
        <w:pStyle w:val="ListBullet"/>
        <w:spacing w:line="240" w:lineRule="auto"/>
        <w:ind w:left="720"/>
      </w:pPr>
      <w:r/>
      <w:r>
        <w:t xml:space="preserve">Paragraph 5 – </w:t>
      </w:r>
      <w:hyperlink r:id="rId10">
        <w:r>
          <w:rPr>
            <w:color w:val="0000EE"/>
            <w:u w:val="single"/>
          </w:rPr>
          <w:t>[4]</w:t>
        </w:r>
      </w:hyperlink>
      <w:r>
        <w:t xml:space="preserve">, </w:t>
      </w:r>
      <w:hyperlink r:id="rId12">
        <w:r>
          <w:rPr>
            <w:color w:val="0000EE"/>
            <w:u w:val="single"/>
          </w:rPr>
          <w:t>[5]</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https://www.pinsentmasons.com/out-law/analysis/legal-contract-management-tech-support-supply-chain-due-diligence</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https://www.reuters.com/sustainability/cop/eu-changes-sustainability-law-risk-company-lawsuits-legal-scholars-say-2025-05-09/</w:t>
        </w:r>
      </w:hyperlink>
      <w:r>
        <w:t xml:space="preserve"> - A group of 31 legal scholars has warned that proposed changes to the European Union's sustainability reporting regulations could increase the risk of lawsuits against companies over climate-related issues. The European Commission's February proposal aims to reduce regulatory requirements on large businesses to ease competitiveness concerns, particularly in comparison with China and the United States. A key proposed change is the elimination of a binding requirement for companies to implement a 'transition plan' aligned with EU greenhouse gas reduction targets. While companies would still need to have such a plan on paper, they would not be legally required to enforce it. Scholars argue this adjustment prioritizes form over substantive action and may lead to greater legal exposure, including court cases citing environmental and public health risks. The letter was signed by prominent academics such as Thom Wetzer (University of Oxford), Christina Eckes (University of Amsterdam), and Wolf-Georg Ringe (University of Hamburg). They referenced ongoing legal actions against firms like TotalEnergies and Eni as examples. The European Commission has not commented but previously stated that the proposals aim to streamline regulations while maintaining emissions goals, though they still require negotiation with the European Parliament and member states.</w:t>
      </w:r>
      <w:r/>
    </w:p>
    <w:p>
      <w:pPr>
        <w:pStyle w:val="ListNumber"/>
        <w:spacing w:line="240" w:lineRule="auto"/>
        <w:ind w:left="720"/>
      </w:pPr>
      <w:r/>
      <w:hyperlink r:id="rId13">
        <w:r>
          <w:rPr>
            <w:color w:val="0000EE"/>
            <w:u w:val="single"/>
          </w:rPr>
          <w:t>https://www.reuters.com/sustainability/boards-policy-regulation/eu-investors-warn-against-deep-data-cuts-green-rules-review-2025-05-09/</w:t>
        </w:r>
      </w:hyperlink>
      <w:r>
        <w:t xml:space="preserve"> - The European Fund and Asset Management Association (EFAMA) has voiced concerns over proposed reductions in EU sustainability disclosure regulations, cautioning that excessive cuts could undermine investors' access to crucial data on environmental and human rights risks. Amid a broad review by the European Commission aimed at easing regulatory burdens to enhance global competitiveness—particularly in light of a U.S.-driven tariff conflict—EU authorities have proposed exempting smaller companies and relaxing duties for larger firms. EFAMA supports reducing complexity but stresses that essential risk information should not be compromised as this could hinder Europe's climate objectives. The trade group is developing a streamlined set of data points that could cut reporting requirements by 80%, supplemented by optional information. EFAMA also warns against excluding too many firms from the rules, which could impair support for smaller green businesses, and urges coherence with upcoming asset manager sustainability reporting revisions.</w:t>
      </w:r>
      <w:r/>
    </w:p>
    <w:p>
      <w:pPr>
        <w:pStyle w:val="ListNumber"/>
        <w:spacing w:line="240" w:lineRule="auto"/>
        <w:ind w:left="720"/>
      </w:pPr>
      <w:r/>
      <w:hyperlink r:id="rId10">
        <w:r>
          <w:rPr>
            <w:color w:val="0000EE"/>
            <w:u w:val="single"/>
          </w:rPr>
          <w:t>https://www.ft.com/content/fcc1157e-678d-4de4-b100-b194837c5c42</w:t>
        </w:r>
      </w:hyperlink>
      <w:r>
        <w:t xml:space="preserve"> - The EU's new Corporate Sustainability Due Diligence Directive (CSDDD), adopted in July 2024, mandates European and certain non-European companies with substantial EU turnover to identify and prevent human rights abuses, including modern slavery, in their supply chains. Set to take effect in 2027, this regulation builds on existing laws in France, Germany, and the Netherlands. Activists and organizations like Amnesty International and the Minderoo Foundation support the directive, highlighting its significance for global businesses and investors. The US's 2021 Uyghur Forced Labor Prevention Act similarly targets forced labor in China's Xinjiang region, imposing significant compliance challenges for companies like BMW and Jaguar Land Rover. The article also discusses the potential implications of the incoming Trump administration on human rights laws and existing legislations, such as Dodd-Frank's conflict minerals rule. While compliance with CSDDD is complex, companies are urged to prepare given the varying legal landscapes. The law's future depends on its adoption by EU member states and potential geopolitical influences, especially with the rise of the political right in Europe.</w:t>
      </w:r>
      <w:r/>
    </w:p>
    <w:p>
      <w:pPr>
        <w:pStyle w:val="ListNumber"/>
        <w:spacing w:line="240" w:lineRule="auto"/>
        <w:ind w:left="720"/>
      </w:pPr>
      <w:r/>
      <w:hyperlink r:id="rId12">
        <w:r>
          <w:rPr>
            <w:color w:val="0000EE"/>
            <w:u w:val="single"/>
          </w:rPr>
          <w:t>https://www.reuters.com/sustainability/society-equity/esg-watch-new-european-human-rights-rules-leave-companies-with-big-gap-close-2024-07-11/</w:t>
        </w:r>
      </w:hyperlink>
      <w:r>
        <w:t xml:space="preserve"> - The new European Union Corporate Sustainability Due Diligence Directive (CSDDD) mandates companies to ensure responsible global supply chains concerning human rights and environmental protection. Passed recently and to be fully enacted by 2027, the directive targets EU companies with over 1,000 employees or non-EU companies with significant EU turnover. Around 5,500 EU companies and at least 1,000 non-EU companies will be affected. Companies must map supply chains for potential risks, be transparent about their due diligence processes, and create climate transition plans up to 2050. Non-compliance could result in severe fines and reputational damage. While challenging, some see it as an opportunity to improve risk management, strengthen supplier partnerships, and foster innovation. The directive builds on national laws from several countries and aims to enforce accountability and transparency, ultimately helping companies mitigate future risks.</w:t>
      </w:r>
      <w:r/>
    </w:p>
    <w:p>
      <w:pPr>
        <w:pStyle w:val="ListNumber"/>
        <w:spacing w:line="240" w:lineRule="auto"/>
        <w:ind w:left="720"/>
      </w:pPr>
      <w:r/>
      <w:hyperlink r:id="rId14">
        <w:r>
          <w:rPr>
            <w:color w:val="0000EE"/>
            <w:u w:val="single"/>
          </w:rPr>
          <w:t>https://www.ft.com/content/2260c21b-f5f4-4ea9-b176-ba1b38c8471c</w:t>
        </w:r>
      </w:hyperlink>
      <w:r>
        <w:t xml:space="preserve"> - Qatar has threatened to halt gas shipments to the EU if new legislation imposing penalties on companies failing criteria for carbon emissions and human rights is strictly enforced. Qatari energy minister Saad al-Kaabi stated that EU penalties could cost QatarEnergy up to 5% of its annual revenue, impacting the state's finances. The EU's corporate due diligence directive, effective from 2027, aims to help the bloc achieve net zero emissions by 2050 but has faced criticism for being too burdensome. Qatar, a key LNG supplier to Europe post-Ukraine conflict, faces logistical and financial challenges in complying, given its extensive global supply chain. Kaabi warned that while Qatar would honour existing contracts, the country would explore legal options to avoid penalties. He suggested that penalties targeting European-generated revenue might be more acceptable. European Commission President Ursula von der Leyen has indicated potential easing of the directive's reporting obligations.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insentmasons.com/out-law/analysis/legal-contract-management-tech-support-supply-chain-due-diligence" TargetMode="External"/><Relationship Id="rId10" Type="http://schemas.openxmlformats.org/officeDocument/2006/relationships/hyperlink" Target="https://www.ft.com/content/fcc1157e-678d-4de4-b100-b194837c5c42" TargetMode="External"/><Relationship Id="rId11" Type="http://schemas.openxmlformats.org/officeDocument/2006/relationships/hyperlink" Target="https://www.reuters.com/sustainability/cop/eu-changes-sustainability-law-risk-company-lawsuits-legal-scholars-say-2025-05-09/" TargetMode="External"/><Relationship Id="rId12" Type="http://schemas.openxmlformats.org/officeDocument/2006/relationships/hyperlink" Target="https://www.reuters.com/sustainability/society-equity/esg-watch-new-european-human-rights-rules-leave-companies-with-big-gap-close-2024-07-11/" TargetMode="External"/><Relationship Id="rId13" Type="http://schemas.openxmlformats.org/officeDocument/2006/relationships/hyperlink" Target="https://www.reuters.com/sustainability/boards-policy-regulation/eu-investors-warn-against-deep-data-cuts-green-rules-review-2025-05-09/" TargetMode="External"/><Relationship Id="rId14" Type="http://schemas.openxmlformats.org/officeDocument/2006/relationships/hyperlink" Target="https://www.ft.com/content/2260c21b-f5f4-4ea9-b176-ba1b38c8471c"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