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DeLandis shifts supply chain to Malaysia, commits to pricing stability through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DeLandis, a prominent player in the mattress manufacturing sector, has made significant strategic adjustments in its supply chain to uphold pricing stability for its retail partners amid a fluctuating economic landscape. With a commitment that extends through mid-June, the company is adeptly leveraging both its global sourcing capabilities and its U.S.-based manufacturing facilities.</w:t>
      </w:r>
      <w:r/>
    </w:p>
    <w:p>
      <w:r/>
      <w:r>
        <w:t>The evolving dynamics of international trade, particularly regarding tariffs, have compelled DeLandis to reassess its sourcing strategy. The company has successfully transitioned much of its component sourcing away from China, capitalising on its existing operational facility in Malaysia. This proactive move effectively mitigates the impact of impending tariffs, allowing DeLandis to maintain stable pricing for its customers at a time when many in the industry are grappling with rising costs.</w:t>
      </w:r>
      <w:r/>
    </w:p>
    <w:p>
      <w:r/>
      <w:r>
        <w:t>Speaking about these developments, Ming Liu, the company’s vice president, remarked, “Our global-local approach wasn’t built overnight. It’s the result of years of strategic investment in both international and domestic capabilities.” His insights highlight the long-term vision that has enabled DeLandis to adapt swiftly to market changes. Liu acknowledges the pressures faced by retail partners, many of whom are dealing with unpredictable cost fluctuations due to a volatile tariff landscape. By mobilising quickly to provide a "runway of pricing stability," DeLandis aims to insulate its partners from such unpredictability.</w:t>
      </w:r>
      <w:r/>
    </w:p>
    <w:p>
      <w:r/>
      <w:r>
        <w:t>While the transition in sourcing has proceeded smoothly, it has introduced a longer lead time of approximately ten days. This adjustment underscores the need for agility in the current market conditions. David Wachendorfer, the senior vice president, emphasised the importance of transparency in this process, stating, “We’re being transparent about where timing is shifting so our partners can adjust early whether that’s for promotional planning, inventory management or product rollouts.” This proactive communication strategy is crucial for retailers aiming to navigate the challenges that arise from supply chain disruptions.</w:t>
      </w:r>
      <w:r/>
    </w:p>
    <w:p>
      <w:r/>
      <w:r>
        <w:t>DeLandis’s diverse product range includes not only mattresses but also pillows, furniture, and relaxation products, reflecting the company's broad expertise in the bedding and furnishings market. As it approaches June, the company plans to reassess its sourcing strategy, remaining vigilant to the evolving tariff situation and its potential implications for both manufacturing costs and pricing strategies.</w:t>
      </w:r>
      <w:r/>
    </w:p>
    <w:p>
      <w:r/>
      <w:r>
        <w:t>As retailers continue to face uncertainty, the moves by DeLandis could serve as a model for others in the sector striving for stability amid external pressures. By investing in a hybrid supply chain and maintaining flexibility, DeLandis exemplifies how adaptability and foresight can mitigate risks associated with global trade fluctuations.</w:t>
      </w:r>
      <w:r/>
    </w:p>
    <w:p>
      <w:pPr>
        <w:pBdr>
          <w:bottom w:val="single" w:sz="6" w:space="1" w:color="auto"/>
        </w:pBdr>
      </w:pPr>
      <w:r/>
    </w:p>
    <w:p>
      <w:r/>
      <w:r>
        <w:rPr>
          <w:b/>
        </w:rPr>
        <w:t>Reference Map</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https://www.furnituretoday.com/bedding-manufacturers/delandis-makes-supply-chain-shift-commits-to-pricing-into-june/</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urnituretoday.com/bedding-manufacturers/delandis-makes-supply-chain-shift-commits-to-pricing-into-june/"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