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Kaiser Permanente reshapes healthcare supply chains through clinician collaboration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Kaiser Permanente's supply chain operates on a distinctive principle that brings clinicians and supply chain leaders into a meaningful partnership. Nestor Jarquin, a strategic sourcing senior category manager within the organisation, emphasises that genuine collaboration goes beyond mere agreement at the outset. For Jarquin, the hallmark of effective collaboration is the ability for clinicians and supply chain professionals to engage in open, constructive debates about product preferences and their associated business implications.</w:t>
      </w:r>
      <w:r/>
    </w:p>
    <w:p>
      <w:r/>
      <w:r>
        <w:t>Jarquin notes that these dialogues, though challenging, are essential to fostering a collaborative culture. “Those kind of collaborations give you a good feeling about how connected you are to the clinical group,” he asserts. Importantly, this culture hinges on mutual respect; while supply chain teams honour the clinical expertise of their colleagues, clinicians also acknowledge the business constraints they navigate.</w:t>
      </w:r>
      <w:r/>
    </w:p>
    <w:p>
      <w:r/>
      <w:r>
        <w:t>The depth of engagement between Kaiser Permanente’s clinicians and supply chain leaders is crucial for making informed decisions that benefit both patient care and organisational finances. Kaiser Permanente physicians possess a deep understanding of both clinical and business practices, allowing them to align their decisions with the organisation’s financial models. This synergy has yielded positive outcomes, including recent initiatives in which clinicians actively participated in controlling costs while preserving the quality of care.</w:t>
      </w:r>
      <w:r/>
    </w:p>
    <w:p>
      <w:r/>
      <w:r>
        <w:t>Jarquin, whose career path has taken him through various roles in healthcare supply chain and materials management, offers a comprehensive view of how Kaiser Permanente views its supply chain. “It’s not just about moving boxes,” he says; rather, it encompasses the entire procurement cycle, from strategic sourcing to inventory management. This holistic approach is not only rare but serves as a competitive advantage in an industry often characterised by siloed operations.</w:t>
      </w:r>
      <w:r/>
    </w:p>
    <w:p>
      <w:r/>
      <w:r>
        <w:t>Aligned with this philosophy is Kaiser Permanente's focus on sustainability. The organisation has set ambitious goals to reduce waste and enhance environmental stewardship. Jarquin emphasises that sustainability metrics are integral to the organisation’s procurement strategy. For instance, over half of Kaiser Permanente's nonhazardous waste was diverted for recycling, reuse, and composting in 2022, a testament to their commitment to environmental outcomes. This is reflected in initiatives like the Environmental Preferable Purchasing framework, which empowers suppliers to meet rigorous environmental standards.</w:t>
      </w:r>
      <w:r/>
    </w:p>
    <w:p>
      <w:r/>
      <w:r>
        <w:t>In 2020, Kaiser Permanente achieved a significant milestone by becoming the first healthcare organisation in the U.S. to be certified as carbon neutral, a status it has maintained annually. As Jarquin explains, the organisation is committed to not only meeting but exceeding sustainability standards through innovative programs aimed at reducing greenhouse gas emissions from medical devices and equipment. This dedication to sustainability aligns closely with clinical discussions, with healthcare providers continually seeking ways to reduce waste in their practises.</w:t>
      </w:r>
      <w:r/>
    </w:p>
    <w:p>
      <w:r/>
      <w:r>
        <w:t>The COVID-19 pandemic served as a transformative moment for Kaiser Permanente's supply chain. Jarquin’s pivot to sourcing materials and supplies highlighted vulnerabilities in international supply chains, prompting a reevaluation of procurement strategies. Lessons learned during this period emphasised greater transparency and resilience—important shifts as they prepare for future supply challenges.</w:t>
      </w:r>
      <w:r/>
    </w:p>
    <w:p>
      <w:r/>
      <w:r>
        <w:t>As a proactive measure, Jarquin and his team are now committed to deepening their knowledge of manufacturers' supply chains, scrutinising factors that include manufacturing locations and raw material sourcing as essential components of risk management. This has led to the introduction of new contractual language that requires suppliers to plan for pandemic scenarios, underscoring the evolution of supply chain practices towards more strategic contingency frameworks.</w:t>
      </w:r>
      <w:r/>
    </w:p>
    <w:p>
      <w:r/>
      <w:r>
        <w:t>Kaiser Permanente's approach to care delivery further promotes a focus on value rather than volume. Jarquin advocates for a shift from episodic care to a more holistic model, one that prioritises life management for patients by intertwining clinical excellence with sound business principles. This perspective is pivotal, as products sourced and distributed within healthcare are integral to the patient experience.</w:t>
      </w:r>
      <w:r/>
    </w:p>
    <w:p>
      <w:r/>
      <w:r>
        <w:t>Despite undergoing numerous disruptions in its supply chain, Kaiser Permanente has effectively navigated these challenges through collaborative efforts. By continuously evaluating and adjusting their product offerings alongside clinicians, they ensure that patient care remains uncompromised even in the face of logistical obstacles. Jarquin highlights the necessity of anticipating future needs, allowing him to stay informed about new technologies and methodologies while fostering alignment between healthcare providers and supply chain functions.</w:t>
      </w:r>
      <w:r/>
    </w:p>
    <w:p>
      <w:r/>
      <w:r>
        <w:t xml:space="preserve">Kaiser Permanente stands as a leading not-for-profit health plan, serving over 12.5 million members. The organisation’s extensive network includes 40 hospitals, 614 medical offices, and a dedicated workforce comprising over 223,000 staff members. The successful integration of supply chain operations and clinical insights not only enhances patient care but underscores Kaiser Permanente's commitment to responsible stewardship of healthcare delivery and environmental sustainability. </w:t>
      </w:r>
      <w:r/>
    </w:p>
    <w:p>
      <w:r/>
      <w:r>
        <w:t>In an ever-evolving healthcare landscape, Jarquin’s role exemplifies a forward-thinking approach that recognises the importance of dialogue—an approach likely to influence the future design of supply chains across the sector.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1-3: </w:t>
      </w:r>
      <w:hyperlink r:id="rId9">
        <w:r>
          <w:rPr>
            <w:color w:val="0000EE"/>
            <w:u w:val="single"/>
          </w:rPr>
          <w:t>[1]</w:t>
        </w:r>
      </w:hyperlink>
      <w:r>
        <w:t xml:space="preserve"> </w:t>
      </w:r>
      <w:r/>
    </w:p>
    <w:p>
      <w:pPr>
        <w:pStyle w:val="ListNumber"/>
        <w:spacing w:line="240" w:lineRule="auto"/>
        <w:ind w:left="720"/>
      </w:pPr>
      <w:r/>
      <w:r>
        <w:t xml:space="preserve">Paragraphs 4-5: </w:t>
      </w:r>
      <w:hyperlink r:id="rId9">
        <w:r>
          <w:rPr>
            <w:color w:val="0000EE"/>
            <w:u w:val="single"/>
          </w:rPr>
          <w:t>[1]</w:t>
        </w:r>
      </w:hyperlink>
      <w:r>
        <w:t xml:space="preserve"> </w:t>
      </w:r>
      <w:r/>
    </w:p>
    <w:p>
      <w:pPr>
        <w:pStyle w:val="ListNumber"/>
        <w:spacing w:line="240" w:lineRule="auto"/>
        <w:ind w:left="720"/>
      </w:pPr>
      <w:r/>
      <w:r>
        <w:t xml:space="preserve">Paragraphs 6-8: </w:t>
      </w:r>
      <w:hyperlink r:id="rId9">
        <w:r>
          <w:rPr>
            <w:color w:val="0000EE"/>
            <w:u w:val="single"/>
          </w:rPr>
          <w:t>[1]</w:t>
        </w:r>
      </w:hyperlink>
      <w:r>
        <w:t xml:space="preserve">, </w:t>
      </w:r>
      <w:hyperlink r:id="rId10">
        <w:r>
          <w:rPr>
            <w:color w:val="0000EE"/>
            <w:u w:val="single"/>
          </w:rPr>
          <w:t>[4]</w:t>
        </w:r>
      </w:hyperlink>
      <w:r>
        <w:t xml:space="preserve"> </w:t>
      </w:r>
      <w:r/>
    </w:p>
    <w:p>
      <w:pPr>
        <w:pStyle w:val="ListNumber"/>
        <w:spacing w:line="240" w:lineRule="auto"/>
        <w:ind w:left="720"/>
      </w:pPr>
      <w:r/>
      <w:r>
        <w:t xml:space="preserve">Paragraphs 9-10: </w:t>
      </w:r>
      <w:hyperlink r:id="rId11">
        <w:r>
          <w:rPr>
            <w:color w:val="0000EE"/>
            <w:u w:val="single"/>
          </w:rPr>
          <w:t>[5]</w:t>
        </w:r>
      </w:hyperlink>
      <w:r>
        <w:t xml:space="preserve"> </w:t>
      </w:r>
      <w:r/>
    </w:p>
    <w:p>
      <w:pPr>
        <w:pStyle w:val="ListNumber"/>
        <w:spacing w:line="240" w:lineRule="auto"/>
        <w:ind w:left="720"/>
      </w:pPr>
      <w:r/>
      <w:r>
        <w:t xml:space="preserve">Paragraphs 11-12: </w:t>
      </w:r>
      <w:hyperlink r:id="rId9">
        <w:r>
          <w:rPr>
            <w:color w:val="0000EE"/>
            <w:u w:val="single"/>
          </w:rPr>
          <w:t>[1]</w:t>
        </w:r>
      </w:hyperlink>
      <w:r>
        <w:t xml:space="preserve">, </w:t>
      </w:r>
      <w:hyperlink r:id="rId12">
        <w:r>
          <w:rPr>
            <w:color w:val="0000EE"/>
            <w:u w:val="single"/>
          </w:rPr>
          <w:t>[2]</w:t>
        </w:r>
      </w:hyperlink>
      <w:r>
        <w:t xml:space="preserve"> </w:t>
      </w:r>
      <w:r/>
    </w:p>
    <w:p>
      <w:pPr>
        <w:pStyle w:val="ListNumber"/>
        <w:spacing w:line="240" w:lineRule="auto"/>
        <w:ind w:left="720"/>
      </w:pPr>
      <w:r/>
      <w:r>
        <w:t xml:space="preserve">Paragraphs 13-14: </w:t>
      </w:r>
      <w:hyperlink r:id="rId13">
        <w:r>
          <w:rPr>
            <w:color w:val="0000EE"/>
            <w:u w:val="single"/>
          </w:rPr>
          <w:t>[3]</w:t>
        </w:r>
      </w:hyperlink>
      <w:r>
        <w:t xml:space="preserve">, </w:t>
      </w:r>
      <w:hyperlink r:id="rId10">
        <w:r>
          <w:rPr>
            <w:color w:val="0000EE"/>
            <w:u w:val="single"/>
          </w:rPr>
          <w:t>[4]</w:t>
        </w:r>
      </w:hyperlink>
      <w:r>
        <w:t xml:space="preserve"> </w:t>
      </w:r>
      <w:r/>
    </w:p>
    <w:p>
      <w:pPr>
        <w:pStyle w:val="ListNumber"/>
        <w:spacing w:line="240" w:lineRule="auto"/>
        <w:ind w:left="720"/>
      </w:pPr>
      <w:r/>
      <w:r>
        <w:t xml:space="preserve">Paragraphs 15-16: </w:t>
      </w:r>
      <w:hyperlink r:id="rId9">
        <w:r>
          <w:rPr>
            <w:color w:val="0000EE"/>
            <w:u w:val="single"/>
          </w:rPr>
          <w:t>[1]</w:t>
        </w:r>
      </w:hyperlink>
      <w:r>
        <w:t xml:space="preserve"> </w:t>
      </w:r>
      <w:r/>
    </w:p>
    <w:p>
      <w:pPr>
        <w:pStyle w:val="ListNumber"/>
        <w:spacing w:line="240" w:lineRule="auto"/>
        <w:ind w:left="720"/>
      </w:pPr>
      <w:r/>
      <w:r>
        <w:t xml:space="preserve">Paragraph 17: </w:t>
      </w:r>
      <w:hyperlink r:id="rId14">
        <w:r>
          <w:rPr>
            <w:color w:val="0000EE"/>
            <w:u w:val="single"/>
          </w:rPr>
          <w:t>[6]</w:t>
        </w:r>
      </w:hyperlink>
      <w:r>
        <w:t xml:space="preserve"> </w:t>
      </w:r>
      <w:r/>
    </w:p>
    <w:p>
      <w:pPr>
        <w:pStyle w:val="ListNumber"/>
        <w:spacing w:line="240" w:lineRule="auto"/>
        <w:ind w:left="720"/>
      </w:pPr>
      <w:r/>
      <w:r>
        <w:t xml:space="preserve">Paragraph 18: </w:t>
      </w:r>
      <w:hyperlink r:id="rId9">
        <w:r>
          <w:rPr>
            <w:color w:val="0000EE"/>
            <w:u w:val="single"/>
          </w:rPr>
          <w:t>[1]</w:t>
        </w:r>
      </w:hyperlink>
      <w:r>
        <w:t xml:space="preserve"> </w:t>
      </w:r>
      <w:r/>
    </w:p>
    <w:p>
      <w:pPr>
        <w:pStyle w:val="ListNumber"/>
        <w:spacing w:line="240" w:lineRule="auto"/>
        <w:ind w:left="720"/>
      </w:pPr>
      <w:r/>
      <w:r>
        <w:t xml:space="preserve">Paragraph 19: </w:t>
      </w:r>
      <w:hyperlink r:id="rId9">
        <w:r>
          <w:rPr>
            <w:color w:val="0000EE"/>
            <w:u w:val="single"/>
          </w:rPr>
          <w:t>[1]</w:t>
        </w:r>
      </w:hyperlink>
      <w:r>
        <w:t xml:space="preserve"> </w:t>
      </w:r>
      <w:r/>
    </w:p>
    <w:p>
      <w:pPr>
        <w:pStyle w:val="ListNumber"/>
        <w:spacing w:line="240" w:lineRule="auto"/>
        <w:ind w:left="720"/>
      </w:pPr>
      <w:r/>
      <w:r>
        <w:t xml:space="preserve">Paragraph 20: </w:t>
      </w:r>
      <w:hyperlink r:id="rId11">
        <w:r>
          <w:rPr>
            <w:color w:val="0000EE"/>
            <w:u w:val="single"/>
          </w:rPr>
          <w:t>[5]</w:t>
        </w:r>
      </w:hyperlink>
      <w:r>
        <w:t xml:space="preserve">, </w:t>
      </w:r>
      <w:hyperlink r:id="rId15">
        <w:r>
          <w:rPr>
            <w:color w:val="0000EE"/>
            <w:u w:val="single"/>
          </w:rPr>
          <w:t>[7]</w:t>
        </w:r>
      </w:hyperlink>
      <w:r>
        <w:t xml:space="preserve"> </w:t>
      </w:r>
      <w:r/>
    </w:p>
    <w:p>
      <w:pPr>
        <w:pStyle w:val="ListNumber"/>
        <w:spacing w:line="240" w:lineRule="auto"/>
        <w:ind w:left="720"/>
      </w:pPr>
      <w:r/>
      <w:r>
        <w:t xml:space="preserve">Paragraph 21: </w:t>
      </w:r>
      <w:hyperlink r:id="rId9">
        <w:r>
          <w:rPr>
            <w:color w:val="0000EE"/>
            <w:u w:val="single"/>
          </w:rPr>
          <w:t>[1]</w:t>
        </w:r>
      </w:hyperlink>
      <w:r>
        <w:t xml:space="preserve">, </w:t>
      </w:r>
      <w:hyperlink r:id="rId11">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https://repertoiremag.com/dialogue-that-drives-outcomes.html?utm_source=rss&amp;utm_medium=rss&amp;utm_campaign=dialogue-that-drives-outcomes</w:t>
        </w:r>
      </w:hyperlink>
      <w:r>
        <w:t xml:space="preserve"> - Please view link - unable to able to access data</w:t>
      </w:r>
      <w:r/>
    </w:p>
    <w:p>
      <w:pPr>
        <w:pStyle w:val="ListNumber"/>
        <w:spacing w:line="240" w:lineRule="auto"/>
        <w:ind w:left="720"/>
      </w:pPr>
      <w:r/>
      <w:hyperlink r:id="rId12">
        <w:r>
          <w:rPr>
            <w:color w:val="0000EE"/>
            <w:u w:val="single"/>
          </w:rPr>
          <w:t>https://supplier.kp.org/source-to-pay-transformation-program/</w:t>
        </w:r>
      </w:hyperlink>
      <w:r>
        <w:t xml:space="preserve"> - Kaiser Permanente's Source to Pay (S2P) Transformation Program aims to enhance supply chain operations by implementing KP SMARTsupply, incorporating advanced technologies, streamlined processes, and an improved supplier experience. The program focuses on simplifying sourcing and contracting, enabling faster payments, launching a new supplier portal, enhancing electronic invoicing, and utilizing artificial intelligence for digital invoice processing. Suppliers are encouraged to stay informed through communications from Kaiser Permanente Supply Chain Services and the supplier website for updates on S2P changes and their potential impact on processes.</w:t>
      </w:r>
      <w:r/>
    </w:p>
    <w:p>
      <w:pPr>
        <w:pStyle w:val="ListNumber"/>
        <w:spacing w:line="240" w:lineRule="auto"/>
        <w:ind w:left="720"/>
      </w:pPr>
      <w:r/>
      <w:hyperlink r:id="rId13">
        <w:r>
          <w:rPr>
            <w:color w:val="0000EE"/>
            <w:u w:val="single"/>
          </w:rPr>
          <w:t>https://about.kaiserpermanente.org/news/leading-in-sustainable-building-design</w:t>
        </w:r>
      </w:hyperlink>
      <w:r>
        <w:t xml:space="preserve"> - Kaiser Permanente leads in sustainable building design with 82 LEED-certified buildings, including the San Marcos Medical Center, which opened in 2023. The organization prioritizes energy-efficient practices, such as efficient water use, solar energy, and access to public transportation, to improve community health and protect the environment. Notable LEED-certified facilities include the San Diego Medical Center, which achieved LEED Double Platinum, and the West Oahu Medical Office at Kapolei, certified LEED Gold. These efforts reflect Kaiser Permanente's commitment to environmental stewardship and sustainable healthcare infrastructure.</w:t>
      </w:r>
      <w:r/>
    </w:p>
    <w:p>
      <w:pPr>
        <w:pStyle w:val="ListNumber"/>
        <w:spacing w:line="240" w:lineRule="auto"/>
        <w:ind w:left="720"/>
      </w:pPr>
      <w:r/>
      <w:hyperlink r:id="rId10">
        <w:r>
          <w:rPr>
            <w:color w:val="0000EE"/>
            <w:u w:val="single"/>
          </w:rPr>
          <w:t>https://supplier.kp.org/impactspending/what-we-do/sustainable-procurement/</w:t>
        </w:r>
      </w:hyperlink>
      <w:r>
        <w:t xml:space="preserve"> - Kaiser Permanente's Sustainable Procurement Program focuses on reducing healthcare's environmental impact by considering the environmental, social, and economic aspects of purchasing decisions. The program includes initiatives like the Environmental Preferable Purchasing (EPP) framework, which sets environmental criteria for suppliers, and third-party certifications such as EPEAT for electronics and GreenSeal for cleaning products. Strategic partnerships, including the CHARME collaborative, aim to decarbonize the healthcare supply chain by reducing greenhouse gas emissions from medical devices and equipment. Suppliers are encouraged to align with Kaiser Permanente's sustainability goals to contribute to a healthier planet.</w:t>
      </w:r>
      <w:r/>
    </w:p>
    <w:p>
      <w:pPr>
        <w:pStyle w:val="ListNumber"/>
        <w:spacing w:line="240" w:lineRule="auto"/>
        <w:ind w:left="720"/>
      </w:pPr>
      <w:r/>
      <w:hyperlink r:id="rId11">
        <w:r>
          <w:rPr>
            <w:color w:val="0000EE"/>
            <w:u w:val="single"/>
          </w:rPr>
          <w:t>https://us.noharm.org/resources/first-carbon-neutral-health-system-shares-their-roadmap</w:t>
        </w:r>
      </w:hyperlink>
      <w:r>
        <w:t xml:space="preserve"> - Kaiser Permanente became the first U.S. healthcare system to achieve carbon neutrality, a milestone achieved through energy-efficient building designs, renewable energy adoption, and carbon offset projects. Notably, projects funded include clay pot water filters in Guatemala to reduce wood or gas use for boiling water and prevent waterborne diseases, and initiatives in Indonesia to protect peatlands from conversion into high-pollution palm oil production while supporting a floating health clinic for riverside communities. Kaiser Permanente plans to expand its focus to lowering Scope 3 emissions in their supply chain and has partnered with Health Care Without Harm to create resources for building a climate-smart healthcare system.</w:t>
      </w:r>
      <w:r/>
    </w:p>
    <w:p>
      <w:pPr>
        <w:pStyle w:val="ListNumber"/>
        <w:spacing w:line="240" w:lineRule="auto"/>
        <w:ind w:left="720"/>
      </w:pPr>
      <w:r/>
      <w:hyperlink r:id="rId14">
        <w:r>
          <w:rPr>
            <w:color w:val="0000EE"/>
            <w:u w:val="single"/>
          </w:rPr>
          <w:t>https://www.thescxchange.com/articles/1403-the-great-coordinator</w:t>
        </w:r>
      </w:hyperlink>
      <w:r>
        <w:t xml:space="preserve"> - Kaiser Permanente transformed its supply chain by centralizing inventory management and standardizing processes across all sites. A national team was established, including heads of demand planning and inventory management, to connect all sites and their inventory. Supply chain directors now report to a central position, and standard processes for activities like receiving, ordering, and cycle counting were implemented across all sites. The initiative began with four 'proof of concept' sites in Northern and Southern California, where existing processes were defined, and metrics for inventory reduction were set.</w:t>
      </w:r>
      <w:r/>
    </w:p>
    <w:p>
      <w:pPr>
        <w:pStyle w:val="ListNumber"/>
        <w:spacing w:line="240" w:lineRule="auto"/>
        <w:ind w:left="720"/>
      </w:pPr>
      <w:r/>
      <w:hyperlink r:id="rId15">
        <w:r>
          <w:rPr>
            <w:color w:val="0000EE"/>
            <w:u w:val="single"/>
          </w:rPr>
          <w:t>https://practicegreenhealth.org/tools-and-resources/guide-going-carbon-neutral</w:t>
        </w:r>
      </w:hyperlink>
      <w:r>
        <w:t xml:space="preserve"> - Kaiser Permanente's journey to carbon neutrality involved energy-efficient building designs, renewable energy adoption, and carbon offset projects. Notably, projects funded include clay pot water filters in Guatemala to reduce wood or gas use for boiling water and prevent waterborne diseases, and initiatives in Indonesia to protect peatlands from conversion into high-pollution palm oil production while supporting a floating health clinic for riverside communities. Kaiser Permanente plans to expand its focus to lowering Scope 3 emissions in their supply chain and has partnered with Health Care Without Harm to create resources for building a climate-smart healthcare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ertoiremag.com/dialogue-that-drives-outcomes.html?utm_source=rss&amp;utm_medium=rss&amp;utm_campaign=dialogue-that-drives-outcomes" TargetMode="External"/><Relationship Id="rId10" Type="http://schemas.openxmlformats.org/officeDocument/2006/relationships/hyperlink" Target="https://supplier.kp.org/impactspending/what-we-do/sustainable-procurement/" TargetMode="External"/><Relationship Id="rId11" Type="http://schemas.openxmlformats.org/officeDocument/2006/relationships/hyperlink" Target="https://us.noharm.org/resources/first-carbon-neutral-health-system-shares-their-roadmap" TargetMode="External"/><Relationship Id="rId12" Type="http://schemas.openxmlformats.org/officeDocument/2006/relationships/hyperlink" Target="https://supplier.kp.org/source-to-pay-transformation-program/" TargetMode="External"/><Relationship Id="rId13" Type="http://schemas.openxmlformats.org/officeDocument/2006/relationships/hyperlink" Target="https://about.kaiserpermanente.org/news/leading-in-sustainable-building-design" TargetMode="External"/><Relationship Id="rId14" Type="http://schemas.openxmlformats.org/officeDocument/2006/relationships/hyperlink" Target="https://www.thescxchange.com/articles/1403-the-great-coordinator" TargetMode="External"/><Relationship Id="rId15" Type="http://schemas.openxmlformats.org/officeDocument/2006/relationships/hyperlink" Target="https://practicegreenhealth.org/tools-and-resources/guide-going-carbon-neutr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