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Aramco signs $90 billion in US deals to boost LNG, digital and low-carbon energy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Saudi Aramco, a global leader in integrated energy and chemicals, has solidified its commitment to innovation and collaboration by signing thirty-four significant Memoranda of Understanding (MoUs) and agreements with prominent U.S. companies. Valued at a potential $90 billion, these agreements represent a pivotal step in strengthening cross-border partnerships and fostering advancements across various sectors in the energy landscape.</w:t>
      </w:r>
      <w:r/>
    </w:p>
    <w:p>
      <w:r/>
      <w:r>
        <w:t>The scope of these partnerships spans crucial industries such as Liquefied Natural Gas (LNG), fuels and chemicals, emissions reduction technologies, digital solutions, and manufacturing. Each initiative is aimed not only at enhancing shareholder value but also at accelerating technological advances essential for navigating the global energy transition.</w:t>
      </w:r>
      <w:r/>
    </w:p>
    <w:p>
      <w:r/>
      <w:r>
        <w:t>Amin H. Nasser, Aramco’s President and CEO, remarked on the longstanding relationship with U.S. companies, stating, "Today’s announcements reflect the depth of our longstanding partnership with U.S. companies, a relationship that began more than 90 years ago." He emphasized the importance of these collaborations in supporting Aramco’s growth strategy and its ongoing evolution in the energy sector.</w:t>
      </w:r>
      <w:r/>
    </w:p>
    <w:p>
      <w:r/>
      <w:r>
        <w:rPr>
          <w:b/>
        </w:rPr>
        <w:t>Diverse Agreements Across Key Sectors</w:t>
      </w:r>
      <w:r/>
    </w:p>
    <w:p>
      <w:r/>
      <w:r>
        <w:t>The agreements include a variety of sector-specific deals. In the downstream sector, notable collaborations involve Honeywell UOP for technology licensing in aromatics projects, and Motiva’s project to develop new facilities at the Port Arthur location. Aramco is also set to explore a major upgrade of the SAMREF refinery with ExxonMobil, paving the way for a state-of-the-art integrated petrochemical complex.</w:t>
      </w:r>
      <w:r/>
    </w:p>
    <w:p>
      <w:r/>
      <w:r>
        <w:t>In the upstream segment, the partnership with Sempra Infrastructure reaffirms Aramco's commitment to expanding its LNG portfolio with the planned Phase 2 of the Port Arthur LNG project. Aramco is poised to procure up to five million tonnes of LNG annually, indicative of its strategic goal to enhance its presence within the U.S. LNG market, which is expected to see a capacity doubling over the next four years. This strategic move aligns with broader regional trends among Middle Eastern energy firms aiming to expand their LNG capabilities, particularly in response to shifting global energy demands.</w:t>
      </w:r>
      <w:r/>
    </w:p>
    <w:p>
      <w:r/>
      <w:r>
        <w:t>Aramco’s collaborations in digital transformation include significant agreements with Amazon Web Services (AWS) and NVIDIA, aiming to drive forward digital solutions and industrial AI infrastructures. This focus on advancing technology echoes recent initiatives aimed at fostering local innovation and establishing a data-centric ecosystem in Saudi Arabia.</w:t>
      </w:r>
      <w:r/>
    </w:p>
    <w:p>
      <w:r/>
      <w:r>
        <w:rPr>
          <w:b/>
        </w:rPr>
        <w:t>Lower-Carbon Innovations and Sustainability</w:t>
      </w:r>
      <w:r/>
    </w:p>
    <w:p>
      <w:r/>
      <w:r>
        <w:t xml:space="preserve">Essential to this ambitious agenda is a commitment to lower-carbon technologies. Recent MoUs signed with Aeroseal, Spiritus, and Rondo underscore Aramco’s dedication to exploring innovative solutions for emissions reduction. Aeroseal's technology is set to expand the efficiency and application of gas pipelines, while collaborations with Spiritus aim to enhance direct air capture capabilities, positioning Aramco as a key player in sustainable energy advancements. </w:t>
      </w:r>
      <w:r/>
    </w:p>
    <w:p>
      <w:r/>
      <w:r>
        <w:t>These sustainability efforts align with Aramco’s target of achieving net-zero Scope 1 and Scope 2 greenhouse gas emissions by 2050, reflecting an acknowledgment of the pressing need to address environmental concerns within the energy sector and beyond. The global demand for LNG, crucial for energy transition, is projected to rise significantly due to countries' shifts towards cleaner energy sources, especially in light of geopolitical considerations and the urgent need for energy security.</w:t>
      </w:r>
      <w:r/>
    </w:p>
    <w:p>
      <w:r/>
      <w:r>
        <w:rPr>
          <w:b/>
        </w:rPr>
        <w:t>Strategic Future Directions</w:t>
      </w:r>
      <w:r/>
    </w:p>
    <w:p>
      <w:r/>
      <w:r>
        <w:t>Overall, these agreements form the cornerstone of Aramco’s strategy to diversify its operations and drive industrial innovation amid evolving energy landscapes. The objective is not just to maintain leadership in traditional oil and gas sectors but also to position the company as a pioneer in next-generation sustainable and digital energy solutions. As indicated in the company's announcements, it is actively pursuing a forward-looking investment strategy, reinforcing its status as a vanguard of growth in an increasingly complex and competitive energy market.</w:t>
      </w:r>
      <w:r/>
    </w:p>
    <w:p>
      <w:r/>
      <w:r>
        <w:t>In conclusion, these extensive declarations mark a significant commitment by Aramco not only to expand its operational footprint but also to navigate the complexities of the future energy landscape with innovative partnerships and sustainable practices at the core of its strategy.</w:t>
      </w:r>
      <w:r/>
    </w:p>
    <w:p>
      <w:pPr>
        <w:pBdr>
          <w:bottom w:val="single" w:sz="6" w:space="1" w:color="auto"/>
        </w:pBdr>
      </w:pPr>
      <w:r/>
    </w:p>
    <w:p>
      <w:pPr>
        <w:pStyle w:val="Heading3"/>
      </w:pPr>
      <w:r>
        <w:t>Reference Map</w:t>
      </w:r>
      <w:r/>
      <w:r/>
    </w:p>
    <w:p>
      <w:pPr>
        <w:pStyle w:val="ListBullet"/>
        <w:spacing w:line="240" w:lineRule="auto"/>
        <w:ind w:left="720"/>
      </w:pPr>
      <w:r/>
      <w:r>
        <w:t>Paragraph 1: Sources 1, 2</w:t>
      </w:r>
      <w:r/>
    </w:p>
    <w:p>
      <w:pPr>
        <w:pStyle w:val="ListBullet"/>
        <w:spacing w:line="240" w:lineRule="auto"/>
        <w:ind w:left="720"/>
      </w:pPr>
      <w:r/>
      <w:r>
        <w:t>Paragraph 2: Sources 1, 6</w:t>
      </w:r>
      <w:r/>
    </w:p>
    <w:p>
      <w:pPr>
        <w:pStyle w:val="ListBullet"/>
        <w:spacing w:line="240" w:lineRule="auto"/>
        <w:ind w:left="720"/>
      </w:pPr>
      <w:r/>
      <w:r>
        <w:t>Paragraph 3: Source 1</w:t>
      </w:r>
      <w:r/>
    </w:p>
    <w:p>
      <w:pPr>
        <w:pStyle w:val="ListBullet"/>
        <w:spacing w:line="240" w:lineRule="auto"/>
        <w:ind w:left="720"/>
      </w:pPr>
      <w:r/>
      <w:r>
        <w:t>Paragraph 4: Sources 3, 4</w:t>
      </w:r>
      <w:r/>
    </w:p>
    <w:p>
      <w:pPr>
        <w:pStyle w:val="ListBullet"/>
        <w:spacing w:line="240" w:lineRule="auto"/>
        <w:ind w:left="720"/>
      </w:pPr>
      <w:r/>
      <w:r>
        <w:t>Paragraph 5: Sources 1, 5</w:t>
      </w:r>
      <w:r/>
    </w:p>
    <w:p>
      <w:pPr>
        <w:pStyle w:val="ListBullet"/>
        <w:spacing w:line="240" w:lineRule="auto"/>
        <w:ind w:left="720"/>
      </w:pPr>
      <w:r/>
      <w:r>
        <w:t>Paragraph 6: Sources 2, 5</w:t>
      </w:r>
      <w:r/>
    </w:p>
    <w:p>
      <w:pPr>
        <w:pStyle w:val="ListBullet"/>
        <w:spacing w:line="240" w:lineRule="auto"/>
        <w:ind w:left="720"/>
      </w:pPr>
      <w:r/>
      <w:r>
        <w:t>Paragraph 7: Sources 1, 6,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https://chemindigest.com/aramco-signs-strategic-deals-with-u-s-companies/</w:t>
        </w:r>
      </w:hyperlink>
      <w:r>
        <w:t xml:space="preserve"> - Please view link - unable to able to access data</w:t>
      </w:r>
      <w:r/>
    </w:p>
    <w:p>
      <w:pPr>
        <w:pStyle w:val="ListNumber"/>
        <w:spacing w:line="240" w:lineRule="auto"/>
        <w:ind w:left="720"/>
      </w:pPr>
      <w:r/>
      <w:hyperlink r:id="rId11">
        <w:r>
          <w:rPr>
            <w:color w:val="0000EE"/>
            <w:u w:val="single"/>
          </w:rPr>
          <w:t>https://www.reuters.com/business/energy/saudi-aramco-signs-mous-with-us-firms-aeroseal-spiritus-rondo-2024-05-17/</w:t>
        </w:r>
      </w:hyperlink>
      <w:r>
        <w:t xml:space="preserve"> - Saudi Aramco has signed three memorandums of understanding (MOUs) with U.S. companies Aeroseal, Spiritus, and Rondo to develop potential lower-carbon energy solutions. The agreements include deploying Aeroseal's technology to expand Aramco's fleet and commercialize it for new applications like gas pipelines. With Spiritus, Aramco aims to explore direct air capture opportunities to reduce energy needs. Additionally, Aramco and Rondo will investigate using heat batteries in Aramco's global facilities to lower operating costs and cut emissions. These MOUs were signed during a visit by U.S. Secretary of Energy Jennifer Granholm to Saudi Arabia.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https://www.reuters.com/business/energy/us-energy-firm-sempra-signs-non-binding-deal-supply-lng-aramco-2024-06-26/</w:t>
        </w:r>
      </w:hyperlink>
      <w:r>
        <w:t xml:space="preserve"> - Sempra, a U.S. energy company, has signed a non-binding agreement with Saudi Aramco to supply liquefied natural gas (LNG) from the planned Phase 2 of the Port Arthur project in Texas. The deal includes Aramco's potential purchase of 5 million tonnes of LNG annually for 20 years and a 25% equity investment in the Phase 2 expansion. This agreement follows reports in March about Aramco's interest in the Port Arthur project. The partnership will help Aramco enhance its gas portfolio and marks its second recent U.S. LNG supply deal, indicating a strategic aim to boost its presence in the U.S. LNG market, where capacity is projected to nearly double in the next four years. (</w:t>
      </w:r>
      <w:hyperlink r:id="rId14">
        <w:r>
          <w:rPr>
            <w:color w:val="0000EE"/>
            <w:u w:val="single"/>
          </w:rPr>
          <w:t>reuters.com</w:t>
        </w:r>
      </w:hyperlink>
      <w:r>
        <w:t>)</w:t>
      </w:r>
      <w:r/>
    </w:p>
    <w:p>
      <w:pPr>
        <w:pStyle w:val="ListNumber"/>
        <w:spacing w:line="240" w:lineRule="auto"/>
        <w:ind w:left="720"/>
      </w:pPr>
      <w:r/>
      <w:hyperlink r:id="rId15">
        <w:r>
          <w:rPr>
            <w:color w:val="0000EE"/>
            <w:u w:val="single"/>
          </w:rPr>
          <w:t>https://www.ft.com/content/e1177def-7310-49c0-8670-e730f8e89be0</w:t>
        </w:r>
      </w:hyperlink>
      <w:r>
        <w:t xml:space="preserve"> - Saudi Aramco has signed a non-binding agreement with U.S. LNG developer NextDecade to purchase 1.2 million tonnes of liquefied natural gas (LNG) annually for 20 years. The LNG will be sourced from NextDecade's yet-to-be-built facility, set to come online by 2030. This marks Aramco's first LNG deal as it seeks to diversify its revenue streams amid the global energy transition. The company is negotiating a binding agreement and has previously invested in MidOcean Energy. Nasir K. Al-Naimi, Aramco's president of upstream, emphasized the role of LNG in meeting the rising demand for secure and efficient energy. This deal aligns with the trends among Middle Eastern energy companies like Abu Dhabi National Oil Company and QatarEnergy, which are expanding their LNG capacities. The growing importance of LNG is heightened by Europe's shift away from Russian pipeline gas due to the Ukraine crisis. Global LNG demand is projected to rise by 50% by 2040, driven by countries like China transitioning from coal to cleaner energy sources. However, environmental concerns persist due to LNG's substantial carbon dioxide and methane emissions. (</w:t>
      </w:r>
      <w:hyperlink r:id="rId16">
        <w:r>
          <w:rPr>
            <w:color w:val="0000EE"/>
            <w:u w:val="single"/>
          </w:rPr>
          <w:t>ft.com</w:t>
        </w:r>
      </w:hyperlink>
      <w:r>
        <w:t>)</w:t>
      </w:r>
      <w:r/>
    </w:p>
    <w:p>
      <w:pPr>
        <w:pStyle w:val="ListNumber"/>
        <w:spacing w:line="240" w:lineRule="auto"/>
        <w:ind w:left="720"/>
      </w:pPr>
      <w:r/>
      <w:hyperlink r:id="rId17">
        <w:r>
          <w:rPr>
            <w:color w:val="0000EE"/>
            <w:u w:val="single"/>
          </w:rPr>
          <w:t>https://www.aramco.com/en/news-media/news/2024/aramco-signs-three-mous-during-visit-of-us-secretary-of-energy</w:t>
        </w:r>
      </w:hyperlink>
      <w:r>
        <w:t xml:space="preserve"> - Saudi Aramco announced the signing of three Memoranda of Understanding (MoUs) with leading American companies to advance the development of potential lower-carbon energy solutions. The MoUs were signed in the presence of Saudi Minister of Energy, HRH Prince Abdulaziz bin Salman al Saud, and U.S. Secretary of Energy, Jennifer Granholm. The agreements include:</w:t>
      </w:r>
      <w:r/>
      <w:r/>
      <w:r/>
    </w:p>
    <w:p>
      <w:pPr>
        <w:pStyle w:val="ListBullet"/>
        <w:spacing w:line="240" w:lineRule="auto"/>
        <w:ind w:left="720"/>
      </w:pPr>
      <w:r/>
      <w:r>
        <w:t>Aeroseal: Aramco and Aeroseal agreed to explore opportunities to accelerate the deployment of Aeroseal’s technology in the company’s building fleet and elsewhere; pursue joint testing of building ductwork and envelopes nationwide to uncover the most prominent opportunities; commercialize the technology in novel applications such as gas pipelines; and localize Aeroseal’s supply chain in Saudi Arabia.</w:t>
      </w:r>
      <w:r/>
    </w:p>
    <w:p>
      <w:pPr>
        <w:pStyle w:val="ListBullet"/>
        <w:spacing w:line="240" w:lineRule="auto"/>
        <w:ind w:left="720"/>
      </w:pPr>
      <w:r/>
      <w:r>
        <w:t>Spiritus: With Spiritus, Aramco agreed to explore opportunities in the field of direct air capture.</w:t>
      </w:r>
      <w:r/>
    </w:p>
    <w:p>
      <w:pPr>
        <w:pStyle w:val="ListBullet"/>
        <w:spacing w:line="240" w:lineRule="auto"/>
        <w:ind w:left="720"/>
      </w:pPr>
      <w:r/>
      <w:r>
        <w:t>Rondo: Aramco and Rondo agreed to explore deployment of heat batteries in Aramco’s global facilities to reduce operating costs and cut emissions.</w:t>
      </w:r>
      <w:r/>
      <w:r/>
    </w:p>
    <w:p>
      <w:r/>
      <w:r>
        <w:t>These MoUs align with Aramco's ambition to achieve net-zero Scope 1 and Scope 2 greenhouse gas emissions across its wholly-owned operated assets by 2050. (</w:t>
      </w:r>
      <w:hyperlink r:id="rId18">
        <w:r>
          <w:rPr>
            <w:color w:val="0000EE"/>
            <w:u w:val="single"/>
          </w:rPr>
          <w:t>aramco.com</w:t>
        </w:r>
      </w:hyperlink>
      <w:r>
        <w:t xml:space="preserve">) 6. </w:t>
      </w:r>
      <w:hyperlink r:id="rId19">
        <w:r>
          <w:rPr>
            <w:color w:val="0000EE"/>
            <w:u w:val="single"/>
          </w:rPr>
          <w:t>https://www.ogj.com/general-interest/article/17229317/aramco-signs-50-billion-in-deals-with-us-companies</w:t>
        </w:r>
      </w:hyperlink>
      <w:r>
        <w:t xml:space="preserve"> - Saudi Aramco has signed multiple agreements with U.S. companies, valued at approximately $50 billion, covering various sectors including technology, manufacturing, and services. These agreements aim to enhance Aramco's operations and contribute to economic development in Saudi Arabia. Notable agreements include:</w:t>
      </w:r>
      <w:r/>
      <w:r/>
    </w:p>
    <w:p>
      <w:pPr>
        <w:pStyle w:val="ListBullet"/>
        <w:spacing w:line="240" w:lineRule="auto"/>
        <w:ind w:left="720"/>
      </w:pPr>
      <w:r/>
      <w:r>
        <w:t>Honeywell: An MOU to advance the digitization of the oil and gas industry and accelerate the benefits of the industrial internet of things within Aramco’s operations.</w:t>
      </w:r>
      <w:r/>
    </w:p>
    <w:p>
      <w:pPr>
        <w:pStyle w:val="ListBullet"/>
        <w:spacing w:line="240" w:lineRule="auto"/>
        <w:ind w:left="720"/>
      </w:pPr>
      <w:r/>
      <w:r>
        <w:t>McDermott International Inc.: An MOU to expand and develop the company’s physical and human capital within the kingdom as part of Aramco’s In-Kingdom Total Value Add (IKTVA) program.</w:t>
      </w:r>
      <w:r/>
    </w:p>
    <w:p>
      <w:pPr>
        <w:pStyle w:val="ListBullet"/>
        <w:spacing w:line="240" w:lineRule="auto"/>
        <w:ind w:left="720"/>
      </w:pPr>
      <w:r/>
      <w:r>
        <w:t>Schlumberger Ltd., Halliburton Co., and Weatherford International: Separate MOUs to deliver projects related to localizing oil field goods and services, expected to create thousands of jobs.</w:t>
      </w:r>
      <w:r/>
      <w:r/>
    </w:p>
    <w:p>
      <w:r/>
      <w:r>
        <w:t>These agreements reflect Aramco's commitment to fostering innovation and economic growth in Saudi Arabia. (</w:t>
      </w:r>
      <w:hyperlink r:id="rId20">
        <w:r>
          <w:rPr>
            <w:color w:val="0000EE"/>
            <w:u w:val="single"/>
          </w:rPr>
          <w:t>ogj.com</w:t>
        </w:r>
      </w:hyperlink>
      <w:r>
        <w:t xml:space="preserve">) 7. </w:t>
      </w:r>
      <w:hyperlink r:id="rId21">
        <w:r>
          <w:rPr>
            <w:color w:val="0000EE"/>
            <w:u w:val="single"/>
          </w:rPr>
          <w:t>https://www.aramco.com/en/news-media/news/2023/aramco-makes-two-major-announcements-at-leap-2023</w:t>
        </w:r>
      </w:hyperlink>
      <w:r>
        <w:t xml:space="preserve"> - At the LEAP 2023 conference in Riyadh, Saudi Arabia, Aramco announced two major initiatives:</w:t>
      </w:r>
      <w:r/>
    </w:p>
    <w:p>
      <w:r/>
      <w:r>
        <w:t xml:space="preserve">1. </w:t>
      </w:r>
      <w:r>
        <w:rPr>
          <w:b/>
        </w:rPr>
        <w:t>Strategic Partnership with Zoom</w:t>
      </w:r>
      <w:r>
        <w:t>: Aramco signed a strategic partnership with Zoom to build Zoom's first global data center in Saudi Arabia, supporting the digital transformation ecosystem.</w:t>
      </w:r>
      <w:r/>
    </w:p>
    <w:p>
      <w:r/>
      <w:r>
        <w:t xml:space="preserve">2. </w:t>
      </w:r>
      <w:r>
        <w:rPr>
          <w:b/>
        </w:rPr>
        <w:t>Increased Funding for Wa’ed Ventures</w:t>
      </w:r>
      <w:r>
        <w:t>: Aramco allocated an additional $300 million to Wa’ed Ventures, bringing the total fund size to $500 million, to support innovation and entrepreneurship in the Kingdom.</w:t>
      </w:r>
      <w:r/>
    </w:p>
    <w:p>
      <w:r/>
      <w:r>
        <w:t>These initiatives aim to foster technological advancement and economic diversification in Saudi Arabia. (</w:t>
      </w:r>
      <w:hyperlink r:id="rId22">
        <w:r>
          <w:rPr>
            <w:color w:val="0000EE"/>
            <w:u w:val="single"/>
          </w:rPr>
          <w:t>aramco.com</w:t>
        </w:r>
      </w:hyperlink>
      <w:r>
        <w: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emindigest.com/aramco-signs-strategic-deals-with-u-s-companies/" TargetMode="External"/><Relationship Id="rId11" Type="http://schemas.openxmlformats.org/officeDocument/2006/relationships/hyperlink" Target="https://www.reuters.com/business/energy/saudi-aramco-signs-mous-with-us-firms-aeroseal-spiritus-rondo-2024-05-17/" TargetMode="External"/><Relationship Id="rId12" Type="http://schemas.openxmlformats.org/officeDocument/2006/relationships/hyperlink" Target="https://www.reuters.com/business/energy/saudi-aramco-signs-mous-with-us-firms-aeroseal-spiritus-rondo-2024-05-17/?utm_source=openai" TargetMode="External"/><Relationship Id="rId13" Type="http://schemas.openxmlformats.org/officeDocument/2006/relationships/hyperlink" Target="https://www.reuters.com/business/energy/us-energy-firm-sempra-signs-non-binding-deal-supply-lng-aramco-2024-06-26/" TargetMode="External"/><Relationship Id="rId14" Type="http://schemas.openxmlformats.org/officeDocument/2006/relationships/hyperlink" Target="https://www.reuters.com/business/energy/us-energy-firm-sempra-signs-non-binding-deal-supply-lng-aramco-2024-06-26/?utm_source=openai" TargetMode="External"/><Relationship Id="rId15" Type="http://schemas.openxmlformats.org/officeDocument/2006/relationships/hyperlink" Target="https://www.ft.com/content/e1177def-7310-49c0-8670-e730f8e89be0" TargetMode="External"/><Relationship Id="rId16" Type="http://schemas.openxmlformats.org/officeDocument/2006/relationships/hyperlink" Target="https://www.ft.com/content/e1177def-7310-49c0-8670-e730f8e89be0?utm_source=openai" TargetMode="External"/><Relationship Id="rId17" Type="http://schemas.openxmlformats.org/officeDocument/2006/relationships/hyperlink" Target="https://www.aramco.com/en/news-media/news/2024/aramco-signs-three-mous-during-visit-of-us-secretary-of-energy" TargetMode="External"/><Relationship Id="rId18" Type="http://schemas.openxmlformats.org/officeDocument/2006/relationships/hyperlink" Target="https://www.aramco.com/en/news-media/news/2024/aramco-signs-three-mous-during-visit-of-us-secretary-of-energy?utm_source=openai" TargetMode="External"/><Relationship Id="rId19" Type="http://schemas.openxmlformats.org/officeDocument/2006/relationships/hyperlink" Target="https://www.ogj.com/general-interest/article/17229317/aramco-signs-50-billion-in-deals-with-us-companies" TargetMode="External"/><Relationship Id="rId20" Type="http://schemas.openxmlformats.org/officeDocument/2006/relationships/hyperlink" Target="https://www.ogj.com/general-interest/article/17229317/aramco-signs-50-billion-in-deals-with-us-companies?utm_source=openai" TargetMode="External"/><Relationship Id="rId21" Type="http://schemas.openxmlformats.org/officeDocument/2006/relationships/hyperlink" Target="https://www.aramco.com/en/news-media/news/2023/aramco-makes-two-major-announcements-at-leap-2023" TargetMode="External"/><Relationship Id="rId22" Type="http://schemas.openxmlformats.org/officeDocument/2006/relationships/hyperlink" Target="https://www.aramco.com/en/news-media/news/2023/aramco-makes-two-major-announcements-at-leap-202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