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co-location could cut costs and carbon emissions by over 70%, MIT warns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supply chain leaders grapple with escalating lead times and rising carbon costs, an old concept is being reinvigorated with newfound urgency: co-locating suppliers, production, and distribution in tightly integrated clusters. According to recent research from MIT, implementing a supplier park model could potentially slash freight and inventory costs by over 70%. However, the successful execution of this strategy requires substantial capital investment, meticulous coordination, and unwavering commitment.</w:t>
      </w:r>
      <w:r/>
    </w:p>
    <w:p>
      <w:r/>
      <w:r>
        <w:t>The shift back to proximity is largely a response to the challenges imposed by traditionally distributed networks, once celebrated for their flexibility and access to global resources. Today's fragmented logistics networks frequently span hundreds or even thousands of miles, resulting in exorbitant costs, prolonged shipping times, and significant environmental impacts. For instance, in the fast-moving consumer goods (FMCG) sector, suppliers situated 500 to 1,000 miles from production sites can extend lead times by up to eight weeks, translating into inventory holding costs that may soar to as high as $10 million annually.</w:t>
      </w:r>
      <w:r/>
    </w:p>
    <w:p>
      <w:r/>
      <w:r>
        <w:t>Moreover, the environmental ramifications are stark. Long-distance freight operations contribute an estimated 250,000 kilograms of CO₂ emissions yearly within a typical dispersed FMCG network, placing additional pressure on companies from both regulatory bodies and increasingly eco-conscious consumers.</w:t>
      </w:r>
      <w:r/>
    </w:p>
    <w:p>
      <w:r/>
      <w:r>
        <w:t>MIT’s study starkly contrasts this narrative, illustrating that in optimal scenarios, the co-location of supply chain nodes can reduce freight costs by as much as 77%, inventory holding costs by 72%, and transportation-related Scope 3 carbon emissions by over 80%. The compact physical footprint of supplier parks significantly alleviates the distance challenges that often hinder efficiency, creating a streamlined system that enhances both economic and environmental performance.</w:t>
      </w:r>
      <w:r/>
    </w:p>
    <w:p>
      <w:r/>
      <w:r>
        <w:t>While the idea of co-location is not novel—having long been a staple in the automotive industry—its current relevance is expanding across various sectors, bolstered by advancements in digital tools. These innovations enable more industries to coordinate closely with upstream suppliers and logistics nodes, particularly in fields sensitive to carbon emissions.</w:t>
      </w:r>
      <w:r/>
    </w:p>
    <w:p>
      <w:r/>
      <w:r>
        <w:t xml:space="preserve">However, the execution of co-location strategies is fraught with challenges. Establishing an integrated operational footprint necessitates more than just a financial commitment; it requires long-term planning and a robust strategy for involving suppliers. Businesses must carefully evaluate potential sites that balance cost considerations, access to labour, infrastructure availability, and proximity to markets. </w:t>
      </w:r>
      <w:r/>
    </w:p>
    <w:p>
      <w:r/>
      <w:r>
        <w:t>Another pressing concern is resilience. Concentrating supply nodes can dilute geographic flexibility, making companies more susceptible to disruptions. As a solution, hybrid models that incorporate localized clusters rather than relying on a single central campus may offer a balanced approach.</w:t>
      </w:r>
      <w:r/>
    </w:p>
    <w:p>
      <w:r/>
      <w:r>
        <w:t>The current climate of global volatility, strict emissions regulations, and consumer demands for rapid delivery and sustainability is intensifying the necessity for a reassessment of traditional supply chain networks. Structural inefficiencies that were previously tolerated are fast becoming significant detractors from business performance.</w:t>
      </w:r>
      <w:r/>
    </w:p>
    <w:p>
      <w:r/>
      <w:r>
        <w:t>This evolving landscape necessitates a strategic rethinking of how proximity is leveraged within supply chains. The insights from MIT indicate that co-location should not merely be seen as a tactic for cost reduction; rather, it represents a profound transformation in supply chain architecture. Thoughtfully implemented supplier parks and regional clusters promise not only emissions reductions but also shorter lead times and diminished inventory risks.</w:t>
      </w:r>
      <w:r/>
    </w:p>
    <w:p>
      <w:r/>
      <w:r>
        <w:t>Adopting this strategy, however, requires a holistic approach. Firms must cultivate long-term alignment across partners, engage in capital planning, and execute a strategic location strategy. As supply chain networks continue to grow in complexity and face heightened carbon constraints, proximity may evolve from being a mere convenience into a critical component of competitive control and operational success.</w:t>
      </w:r>
      <w:r/>
    </w:p>
    <w:p>
      <w:pPr>
        <w:pStyle w:val="Heading3"/>
      </w:pPr>
      <w:r>
        <w:t>Reference Map</w:t>
      </w:r>
      <w:r/>
      <w:r/>
    </w:p>
    <w:p>
      <w:pPr>
        <w:pStyle w:val="ListNumber"/>
        <w:numPr>
          <w:ilvl w:val="0"/>
          <w:numId w:val="14"/>
        </w:numPr>
        <w:spacing w:line="240" w:lineRule="auto"/>
        <w:ind w:left="720"/>
      </w:pPr>
      <w:r/>
      <w:r>
        <w:t xml:space="preserve">Par. 1, 2, 3, 4, 5 </w:t>
      </w:r>
      <w:r/>
    </w:p>
    <w:p>
      <w:pPr>
        <w:pStyle w:val="ListNumber"/>
        <w:spacing w:line="240" w:lineRule="auto"/>
        <w:ind w:left="720"/>
      </w:pPr>
      <w:r/>
      <w:r>
        <w:t xml:space="preserve">Par. 1, 2, 3, 4 </w:t>
      </w:r>
      <w:r/>
    </w:p>
    <w:p>
      <w:pPr>
        <w:pStyle w:val="ListNumber"/>
        <w:spacing w:line="240" w:lineRule="auto"/>
        <w:ind w:left="720"/>
      </w:pPr>
      <w:r/>
      <w:r>
        <w:t xml:space="preserve">Par. 1, 2 </w:t>
      </w:r>
      <w:r/>
    </w:p>
    <w:p>
      <w:pPr>
        <w:pStyle w:val="ListNumber"/>
        <w:spacing w:line="240" w:lineRule="auto"/>
        <w:ind w:left="720"/>
      </w:pPr>
      <w:r/>
      <w:r>
        <w:t xml:space="preserve">Par. 2, 3 </w:t>
      </w:r>
      <w:r/>
    </w:p>
    <w:p>
      <w:pPr>
        <w:pStyle w:val="ListNumber"/>
        <w:spacing w:line="240" w:lineRule="auto"/>
        <w:ind w:left="720"/>
      </w:pPr>
      <w:r/>
      <w:r>
        <w:t xml:space="preserve">Par. 4, 5 </w:t>
      </w:r>
      <w:r/>
    </w:p>
    <w:p>
      <w:pPr>
        <w:pStyle w:val="ListNumber"/>
        <w:spacing w:line="240" w:lineRule="auto"/>
        <w:ind w:left="720"/>
      </w:pPr>
      <w:r/>
      <w:r>
        <w:t xml:space="preserve">Par. 1, 2 </w:t>
      </w:r>
      <w:r/>
    </w:p>
    <w:p>
      <w:pPr>
        <w:pStyle w:val="ListNumber"/>
        <w:spacing w:line="240" w:lineRule="auto"/>
        <w:ind w:left="720"/>
      </w:pPr>
      <w:r/>
      <w:r>
        <w:t>Par. 2, 3</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https://supplychain360.io/supply-chains-see-big-wins-from-co-location-strategy/?utm_source=rss&amp;utm_medium=rss&amp;utm_campaign=supply-chains-see-big-wins-from-co-location-strategy</w:t>
        </w:r>
      </w:hyperlink>
      <w:r>
        <w:t xml:space="preserve"> - Please view link - unable to able to access data</w:t>
      </w:r>
      <w:r/>
    </w:p>
    <w:p>
      <w:pPr>
        <w:pStyle w:val="ListNumber"/>
        <w:spacing w:line="240" w:lineRule="auto"/>
        <w:ind w:left="720"/>
      </w:pPr>
      <w:r/>
      <w:hyperlink r:id="rId11">
        <w:r>
          <w:rPr>
            <w:color w:val="0000EE"/>
            <w:u w:val="single"/>
          </w:rPr>
          <w:t>https://pmc.ncbi.nlm.nih.gov/articles/PMC10360574/</w:t>
        </w:r>
      </w:hyperlink>
      <w:r>
        <w:t xml:space="preserve"> - This article discusses the importance of co-locating suppliers, production, and distribution in purpose-built clusters to enhance workplace safety and sustainability. It highlights how such co-location strategies can lead to significant reductions in freight and inventory costs, as well as improvements in environmental performance. The study emphasizes the need for capital investment, coordination, and commitment to successfully implement these strategies, and also addresses potential challenges related to resilience and geographic flexibility.</w:t>
      </w:r>
      <w:r/>
    </w:p>
    <w:p>
      <w:pPr>
        <w:pStyle w:val="ListNumber"/>
        <w:spacing w:line="240" w:lineRule="auto"/>
        <w:ind w:left="720"/>
      </w:pPr>
      <w:r/>
      <w:hyperlink r:id="rId12">
        <w:r>
          <w:rPr>
            <w:color w:val="0000EE"/>
            <w:u w:val="single"/>
          </w:rPr>
          <w:t>https://dl.acm.org/doi/10.1145/2963175.2963177</w:t>
        </w:r>
      </w:hyperlink>
      <w:r>
        <w:t xml:space="preserve"> - This research explores the concept of colocation as a hybrid ICT sourcing strategy aimed at improving operational agility. It examines how co-locating information and communication technology resources can lead to enhanced flexibility and responsiveness in supply chain operations. The study provides insights into the benefits and challenges associated with implementing colocation strategies, particularly in the context of rapidly changing technological environments and the need for agile supply chain management.</w:t>
      </w:r>
      <w:r/>
    </w:p>
    <w:p>
      <w:pPr>
        <w:pStyle w:val="ListNumber"/>
        <w:spacing w:line="240" w:lineRule="auto"/>
        <w:ind w:left="720"/>
      </w:pPr>
      <w:r/>
      <w:hyperlink r:id="rId13">
        <w:r>
          <w:rPr>
            <w:color w:val="0000EE"/>
            <w:u w:val="single"/>
          </w:rPr>
          <w:t>https://www.mdpi.com/2071-1050/10/7/2441</w:t>
        </w:r>
      </w:hyperlink>
      <w:r>
        <w:t xml:space="preserve"> - This paper investigates the relationship between government support, market proximity, supply chain agility, and financial performance. It highlights how strategic collaborations and government subsidies can enhance supply chain agility, leading to improved firm performance. The study underscores the importance of proximity to markets and the role of government support in fostering resilient and efficient supply chains, particularly in the context of emerging industrial sectors.</w:t>
      </w:r>
      <w:r/>
    </w:p>
    <w:p>
      <w:pPr>
        <w:pStyle w:val="ListNumber"/>
        <w:spacing w:line="240" w:lineRule="auto"/>
        <w:ind w:left="720"/>
      </w:pPr>
      <w:r/>
      <w:hyperlink r:id="rId14">
        <w:r>
          <w:rPr>
            <w:color w:val="0000EE"/>
            <w:u w:val="single"/>
          </w:rPr>
          <w:t>https://arxiv.org/abs/2405.07071</w:t>
        </w:r>
      </w:hyperlink>
      <w:r>
        <w:t xml:space="preserve"> - This study revisits the concept of coagglomeration, focusing on the colocation of skill-related suppliers. It analyzes when supply chain connections lead firms to colocate, emphasizing the importance of skill-relatedness between industries. The research utilizes detailed micro-data to demonstrate that firms are more likely to colocate when their industries share similar labor requirements, suggesting that knowledge exchange and proximity are crucial for competitive advantage in global markets.</w:t>
      </w:r>
      <w:r/>
    </w:p>
    <w:p>
      <w:pPr>
        <w:pStyle w:val="ListNumber"/>
        <w:spacing w:line="240" w:lineRule="auto"/>
        <w:ind w:left="720"/>
      </w:pPr>
      <w:r/>
      <w:hyperlink r:id="rId15">
        <w:r>
          <w:rPr>
            <w:color w:val="0000EE"/>
            <w:u w:val="single"/>
          </w:rPr>
          <w:t>https://nepis.epa.gov/Exe/ZyPURL.cgi?Dockey=20000XKS.TXT</w:t>
        </w:r>
      </w:hyperlink>
      <w:r>
        <w:t xml:space="preserve"> - This practical guide provides materials managers and supply chain professionals with strategies to reduce costs and improve environmental performance through lean and green supply chain practices. It discusses the benefits of co-locating suppliers, production, and distribution to enhance efficiency and sustainability. The guide offers insights into implementing these strategies, including the importance of direct interaction with supply chain partners and the role of government support in facilitating such initiatives.</w:t>
      </w:r>
      <w:r/>
    </w:p>
    <w:p>
      <w:pPr>
        <w:pStyle w:val="ListNumber"/>
        <w:spacing w:line="240" w:lineRule="auto"/>
        <w:ind w:left="720"/>
      </w:pPr>
      <w:r/>
      <w:hyperlink r:id="rId16">
        <w:r>
          <w:rPr>
            <w:color w:val="0000EE"/>
            <w:u w:val="single"/>
          </w:rPr>
          <w:t>https://pmc.ncbi.nlm.nih.gov/articles/PMC8476006/</w:t>
        </w:r>
      </w:hyperlink>
      <w:r>
        <w:t xml:space="preserve"> - This article examines the impact of geographic proximity on supply chain and organizational survival, focusing on China's e-commerce investments in Indonesia. It highlights how co-locating suppliers and production facilities can enhance supply chain efficiency and resilience. The study underscores the importance of strategic location decisions in global supply chains and the role of government support in facilitating such investments to strengthen supply chain networks.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supply-chains-see-big-wins-from-co-location-strategy/?utm_source=rss&amp;utm_medium=rss&amp;utm_campaign=supply-chains-see-big-wins-from-co-location-strategy" TargetMode="External"/><Relationship Id="rId11" Type="http://schemas.openxmlformats.org/officeDocument/2006/relationships/hyperlink" Target="https://pmc.ncbi.nlm.nih.gov/articles/PMC10360574/" TargetMode="External"/><Relationship Id="rId12" Type="http://schemas.openxmlformats.org/officeDocument/2006/relationships/hyperlink" Target="https://dl.acm.org/doi/10.1145/2963175.2963177" TargetMode="External"/><Relationship Id="rId13" Type="http://schemas.openxmlformats.org/officeDocument/2006/relationships/hyperlink" Target="https://www.mdpi.com/2071-1050/10/7/2441" TargetMode="External"/><Relationship Id="rId14" Type="http://schemas.openxmlformats.org/officeDocument/2006/relationships/hyperlink" Target="https://arxiv.org/abs/2405.07071" TargetMode="External"/><Relationship Id="rId15" Type="http://schemas.openxmlformats.org/officeDocument/2006/relationships/hyperlink" Target="https://nepis.epa.gov/Exe/ZyPURL.cgi?Dockey=20000XKS.TXT" TargetMode="External"/><Relationship Id="rId16" Type="http://schemas.openxmlformats.org/officeDocument/2006/relationships/hyperlink" Target="https://pmc.ncbi.nlm.nih.gov/articles/PMC8476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