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told to adopt systems thinking as DSCSA-era data misalignment risks quarantine-driven shortages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in Pharmaceutical Commerce, a recent peer‑exchange roundtable made clear that the pharmaceutical supply chain is far from a series of discrete handoffs; it is an interdependent, multi‑stage system whose resilience determines whether patients receive safe, authentic medicines on time. Moderated by Nicholas Saraceno, the discussion brought together Dave Malenfant, Opeyemi Odusami and Bob Celeste to probe where fragility still hides in the system and what practical steps industry, regulators and trading partners should take to strengthen it.</w:t>
      </w:r>
      <w:r/>
    </w:p>
    <w:p>
      <w:r/>
      <w:r>
        <w:t>Malenfant urged participants to adopt a holistic, circular view of the network — “plan, source, make, deliver, sell, sustain, and return” — and to treat resiliency as a continuous management discipline rather than a one‑off project. That perspective sits comfortably with established supply‑chain frameworks such as the SCOR model, which encourages organisations to map end‑to‑end processes, benchmark performance and build digital and governance capabilities that enable orchestration across partners. In practice, that means linking process design, performance metrics and digital interoperability so that a problem in sourcing or manufacturing does not cascade downstream into patient access failures.</w:t>
      </w:r>
      <w:r/>
    </w:p>
    <w:p>
      <w:r/>
      <w:r>
        <w:t>Odusami underlined that resilience is as much about anticipation as reaction. Synchronising purchasing, manufacturing and logistics, and building adaptability into those systems, enables companies to predict and prevent disruption rather than merely respond to it. That approach echoes public‑health guidance: the World Health Organization emphasises forecasting, robust procurement and supply‑management tools as essential to keeping essential medicines available, affordable and of assured quality. The roundtable therefore framed data and planning — not just capacity alone — as core resilience levers.</w:t>
      </w:r>
      <w:r/>
    </w:p>
    <w:p>
      <w:r/>
      <w:r>
        <w:t>A striking strand of the conversation focused on serialization, data alignment and exception handling. As Celeste noted during the roundtable, when regions increasingly require package‑level traceability, physical goods and transmitted data can fall out of step; “misalignment errors often result in products being placed in quarantine,” he said, creating time‑sensitive bottlenecks. The U.S. Drug Supply Chain Security Act (DSCSA) aims to build an electronic, interoperable system for tracing prescription drugs at the package level, including product identifiers and transaction histories, but the reality of implementation is that exceptions will arise. Industry commentary warns that without robust pre‑testing, standardised data formats and clear exception‑management workflows, wholesalers and distributors may be forced to quarantine, return or investigate shipments — actions that can produce cascading delays and unintentionally contribute to shortages.</w:t>
      </w:r>
      <w:r/>
    </w:p>
    <w:p>
      <w:r/>
      <w:r>
        <w:t>Those shortages, the panel agreed, are rarely the result of a single cause. Peer‑reviewed research highlights several structural drivers: low profitability for many generics and sterile injectables reduces incentives for multiple high‑quality suppliers; quality problems at manufacturing sites; complex regulatory requirements; and concentration in API supply chains, often overseas. The roundtable echoed those findings, pointing out that an inability to source active pharmaceutical ingredients frequently manifests later as hospital and community‑level shortages.</w:t>
      </w:r>
      <w:r/>
    </w:p>
    <w:p>
      <w:r/>
      <w:r>
        <w:t>Against that backdrop, the conversation produced a pragmatic menu of actions rather than a single silver bullet. Panelists and industry analysts advocate: - strengthening data governance and interoperability so trading partners can detect and resolve mismatches quickly;</w:t>
        <w:br/>
      </w:r>
      <w:r>
        <w:t>- implementing rigorous pre‑testing and standards‑based exchanges to lower false positives;</w:t>
        <w:br/>
      </w:r>
      <w:r>
        <w:t>- designing exception‑handling processes with clear roles, SLAs and escalation paths so quarantines are short and informed;</w:t>
        <w:br/>
      </w:r>
      <w:r>
        <w:t>- diversifying supplier bases for critical APIs and essential medicines where feasible, while combining that with incentives for high‑quality domestic and international manufacturing;</w:t>
        <w:br/>
      </w:r>
      <w:r>
        <w:t>- investing in talent pipelines and cross‑functional capability so organisations have the skills to operate in a more data‑intensive environment; and</w:t>
        <w:br/>
      </w:r>
      <w:r>
        <w:t>- embedding sustainability and circularity into planning to reduce waste and long‑term supply risk.</w:t>
      </w:r>
      <w:r/>
    </w:p>
    <w:p>
      <w:r/>
      <w:r>
        <w:t>The roundtable also cautioned against policy or commercial overreactions. Sudden stockpiling or wholesale reshoring in response to tariff changes or geopolitical noise can be costly and create its own logistical and quality challenges. The participants argued for measured trade and procurement strategies that balance risk reduction with operational efficiency — in other words, building resilience without imposing unnecessary cost and complexity that could reduce long‑term access.</w:t>
      </w:r>
      <w:r/>
    </w:p>
    <w:p>
      <w:r/>
      <w:r>
        <w:t>Regulators have a role to play in this balanced approach. The FDA’s DSCSA framework sets traceability expectations intended to protect patients by enabling rapid detection and removal of suspect products, but the agency and industry must continue to collaborate on implementation timelines, trading‑partner definitions and practical enforcement that account for real‑world exception rates. Similarly, policymakers can consider targeted incentives and procurement reforms identified in academic work to encourage investment in high‑quality, reliable manufacturing for low‑margin essential medicines.</w:t>
      </w:r>
      <w:r/>
    </w:p>
    <w:p>
      <w:r/>
      <w:r>
        <w:t>The roundtable’s central claim is straightforward: protecting patient access requires systems thinking. That means aligning policy, commercial incentives, technology standards and human capability around a common objective — steady supply of safe, affordable medicines — rather than reacting in siloed ways to each new disruption. Building that end‑to‑end capacity will take time and coordinated investment, but the alternative is a supply chain in which a single misaligned data message or constrained API source can quickly ripple into a public‑health problem.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https://www.pharmaceuticalcommerce.com/view/maximizing-supply-chain-efficiency-without-overreacting-tariffs-episode-7</w:t>
        </w:r>
      </w:hyperlink>
      <w:r>
        <w:t xml:space="preserve"> - Please view link - unable to able to access data</w:t>
      </w:r>
      <w:r/>
    </w:p>
    <w:p>
      <w:pPr>
        <w:pStyle w:val="ListNumber"/>
        <w:spacing w:line="240" w:lineRule="auto"/>
        <w:ind w:left="720"/>
      </w:pPr>
      <w:r/>
      <w:hyperlink r:id="rId10">
        <w:r>
          <w:rPr>
            <w:color w:val="0000EE"/>
            <w:u w:val="single"/>
          </w:rPr>
          <w:t>https://www.pharmaceuticalcommerce.com/view/maximizing-supply-chain-efficiency-without-overreacting-tariffs-episode-7</w:t>
        </w:r>
      </w:hyperlink>
      <w:r>
        <w:t xml:space="preserve"> - Pharmaceutical Commerce published a Peer Exchange roundtable moderated by Nicholas Saraceno that discusses pharmaceutical supply‑chain complexity and resilience. Panelists Dave Malenfant, Opeyemi Odusami and Bob Celeste explore end‑to‑end stages—from research and development through manufacturing, distribution and dispensing to patients—and emphasise quality, authenticity and regulatory compliance. The conversation covers causes of shortages such as API constraints, the need for data management and serialization under DSCSA, exception handling and quarantine risks, talent development, sustainability and risk mitigation strategies. Speakers advocate a holistic, circular view of the supply chain and steps to strengthen weak links while preserving product flow to protect patient access.</w:t>
      </w:r>
      <w:r/>
    </w:p>
    <w:p>
      <w:pPr>
        <w:pStyle w:val="ListNumber"/>
        <w:spacing w:line="240" w:lineRule="auto"/>
        <w:ind w:left="720"/>
      </w:pPr>
      <w:r/>
      <w:hyperlink r:id="rId11">
        <w:r>
          <w:rPr>
            <w:color w:val="0000EE"/>
            <w:u w:val="single"/>
          </w:rPr>
          <w:t>https://www.fda.gov/drugs/drug-supply-chain-integrity/drug-supply-chain-security-act-dscsa</w:t>
        </w:r>
      </w:hyperlink>
      <w:r>
        <w:t xml:space="preserve"> - The U.S. Food and Drug Administration explains the Drug Supply Chain Security Act (DSCSA) as a national effort to create an electronic, interoperable system to trace prescription drugs at the package level. The DSCSA requires product identifiers, transaction histories and authentication procedures to help prevent counterfeit or harmful medicines entering the supply chain, enabling rapid detection and removal of suspect product. FDA guidance covers implementation timelines, waivers, authorised trading partner definitions and reporting obligations including illegitimate product notifications. The agency emphasises stakeholder engagement and provides resources to support industry readiness and protect patient safety through improved traceability and regulatory oversight.</w:t>
      </w:r>
      <w:r/>
    </w:p>
    <w:p>
      <w:pPr>
        <w:pStyle w:val="ListNumber"/>
        <w:spacing w:line="240" w:lineRule="auto"/>
        <w:ind w:left="720"/>
      </w:pPr>
      <w:r/>
      <w:hyperlink r:id="rId12">
        <w:r>
          <w:rPr>
            <w:color w:val="0000EE"/>
            <w:u w:val="single"/>
          </w:rPr>
          <w:t>https://www.sdcexec.com/safety-security/regulations/article/22866265/systech-consequences-of-misalignment-exceptions-is-pharma-prepared-for-the-dscsa-deadline</w:t>
        </w:r>
      </w:hyperlink>
      <w:r>
        <w:t xml:space="preserve"> - An industry analysis on Supply &amp; Demand Chain Executive explains how serialization compliance under DSCSA can produce process exceptions when physical products and transmission data do not align. The article warns such misalignments may force wholesalers to quarantine shipments, return goods, or undertake investigations, potentially causing cascading delays and shortages across the supply chain. The article highlights operational risk and emphasises the importance of pre‑testing, data standardisation and exception handling. It recommends interoperability, rigorous testing with trading partners and robust data governance to reduce false positives and keep products moving while meeting regulatory obligations and protecting patient access to medicines.</w:t>
      </w:r>
      <w:r/>
    </w:p>
    <w:p>
      <w:pPr>
        <w:pStyle w:val="ListNumber"/>
        <w:spacing w:line="240" w:lineRule="auto"/>
        <w:ind w:left="720"/>
      </w:pPr>
      <w:r/>
      <w:hyperlink r:id="rId13">
        <w:r>
          <w:rPr>
            <w:color w:val="0000EE"/>
            <w:u w:val="single"/>
          </w:rPr>
          <w:t>https://pmc.ncbi.nlm.nih.gov/articles/PMC7099531/</w:t>
        </w:r>
      </w:hyperlink>
      <w:r>
        <w:t xml:space="preserve"> - The peer‑reviewed article examines US drug shortages, arguing several root causes drive supply instability. Authors note that low profitability for many generic and sterile injectable medicines reduces manufacturer incentives, while manufacturing quality problems, regulatory complexities and reliance on foreign active pharmaceutical ingredient suppliers amplify vulnerability. Consolidation and market dynamics mean few producers supply many essential drugs, so disruptions at a single site can spark national shortages. The paper analyses policy levers, including incentives for high‑quality manufacturing, greater transparency, improved procurement practices and regulatory strategies to bolster resilience and to reduce public harm.</w:t>
      </w:r>
      <w:r/>
    </w:p>
    <w:p>
      <w:pPr>
        <w:pStyle w:val="ListNumber"/>
        <w:spacing w:line="240" w:lineRule="auto"/>
        <w:ind w:left="720"/>
      </w:pPr>
      <w:r/>
      <w:hyperlink r:id="rId14">
        <w:r>
          <w:rPr>
            <w:color w:val="0000EE"/>
            <w:u w:val="single"/>
          </w:rPr>
          <w:t>https://www.who.int/news-room/fact-sheets/detail/essential-medicines</w:t>
        </w:r>
      </w:hyperlink>
      <w:r>
        <w:t xml:space="preserve"> - WHO’s essential medicines fact sheet explains why a reliable pharmaceutical supply chain is fundamental to public health. The list identifies medicines that meet priority healthcare needs and stresses they must be available, affordable and of assured quality. WHO links national essential medicines lists to procurement, supply decisions, arguing that selection and reliable supply reduce morbidity and mortality and improve health system efficiency. The organisation also highlights supply management tools—forecasting, procurement, storage and distribution—and urges regulatory strengthening to prevent substandard and falsified products. Ensuring access to essential medicines supports universal health coverage and protects patients during crises such as outbreaks, disasters.</w:t>
      </w:r>
      <w:r/>
    </w:p>
    <w:p>
      <w:pPr>
        <w:pStyle w:val="ListNumber"/>
        <w:spacing w:line="240" w:lineRule="auto"/>
        <w:ind w:left="720"/>
      </w:pPr>
      <w:r/>
      <w:hyperlink r:id="rId15">
        <w:r>
          <w:rPr>
            <w:color w:val="0000EE"/>
            <w:u w:val="single"/>
          </w:rPr>
          <w:t>https://en.wikipedia.org/wiki/Supply_chain_operations_reference</w:t>
        </w:r>
      </w:hyperlink>
      <w:r>
        <w:t xml:space="preserve"> - The Supply Chain Operations Reference (SCOR) model, developed by industry bodies and managed by ASCM, provides a standard framework to describe and improve supply‑chain processes. Core SCOR processes include plan, source, make, deliver, return and enable, enabling organisations to analyse performance, benchmark operations, align partners. Recent SCOR Digital Standard updates reform the model into a more circular, 'infinity loop' representation and add digital and orchestrate capabilities to support interoperability, data governance and sustainability. SCOR’s metrics and process hierarchy are widely adopted across sectors, including pharmaceuticals, as a holistic way to assess vulnerabilities, design resilience and guide end‑to‑end improvement programmes.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maximizing-supply-chain-efficiency-without-overreacting-tariffs-episode-7" TargetMode="External"/><Relationship Id="rId11" Type="http://schemas.openxmlformats.org/officeDocument/2006/relationships/hyperlink" Target="https://www.fda.gov/drugs/drug-supply-chain-integrity/drug-supply-chain-security-act-dscsa" TargetMode="External"/><Relationship Id="rId12" Type="http://schemas.openxmlformats.org/officeDocument/2006/relationships/hyperlink" Target="https://www.sdcexec.com/safety-security/regulations/article/22866265/systech-consequences-of-misalignment-exceptions-is-pharma-prepared-for-the-dscsa-deadline" TargetMode="External"/><Relationship Id="rId13" Type="http://schemas.openxmlformats.org/officeDocument/2006/relationships/hyperlink" Target="https://pmc.ncbi.nlm.nih.gov/articles/PMC7099531/" TargetMode="External"/><Relationship Id="rId14" Type="http://schemas.openxmlformats.org/officeDocument/2006/relationships/hyperlink" Target="https://www.who.int/news-room/fact-sheets/detail/essential-medicines" TargetMode="External"/><Relationship Id="rId15" Type="http://schemas.openxmlformats.org/officeDocument/2006/relationships/hyperlink" Target="https://en.wikipedia.org/wiki/Supply_chain_operations_re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