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trade’s resilience now hinges on rules, finance and digital inclusion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Global trade remains the engine of modern prosperity, linking producers, consumers and capital across borders in ways that were unimaginable even a generation ago. As the original piece argues, succeeding on the international stage now demands clear strategy, rigorous risk management and an ability to exploit technology — but it also requires governments, multilateral institutions and financial markets to provide the predictable systems that make cross‑border commerce possible.</w:t>
      </w:r>
      <w:r/>
    </w:p>
    <w:p>
      <w:r/>
      <w:r>
        <w:t>Why rules and capacity matter The legal and institutional framework for trade underpins nearly every transaction that crosses a frontier. According to the World Trade Organization, the global trading system rests on negotiated rules, a forum for further liberalisation and a dispute‑settlement mechanism that gives members a predictable process to resolve commercial conflicts. Those rules, and the capacity to implement them, are especially important for developing countries seeking to increase market access and attract investment. The World Bank notes that trade can accelerate poverty reduction and economic growth by linking firms to global value chains, but points out that many low‑income countries still face barriers in logistics, customs and export capacity that curtail their benefits from open markets.</w:t>
      </w:r>
      <w:r/>
    </w:p>
    <w:p>
      <w:r/>
      <w:r>
        <w:t>Finance and foreign‑exchange plumbing Behind every exported container or cross‑border invoice sits a complex set of financial services. Trade finance — instruments such as letters of credit, guarantees and supply‑chain finance — reduces payment and performance risk and unlocks liquidity for exporters and importers. Industry bodies estimate that trade finance supports the vast majority of world trade: the International Chamber of Commerce highlights estimates that roughly 80–90% of global trade depends on some form of trade finance. Equally critical are foreign‑exchange markets that settle payments and allow firms to hedge exposure: the Bank for International Settlements’ triennial survey shows how large and liquid those markets are, with daily turnover measured in trillions of dollars and the US dollar appearing in the vast majority of transactions. Firms therefore need both the right banking relationships and active FX risk management to avoid needless margin erosion.</w:t>
      </w:r>
      <w:r/>
    </w:p>
    <w:p>
      <w:r/>
      <w:r>
        <w:t>Supply chains: efficiency versus resilience The evolution from local supply networks to geographically dispersed value chains has delivered enormous efficiency gains, but also new vulnerabilities. Analysis from leading consultancy research argues that shocks — from pandemics to geopolitical friction and extreme weather — repeatedly expose choke points and can wipe out profits unless businesses invest in resilience. Successful firms balance cost‑efficiency with measures such as supplier diversification, regional sourcing, strategic inventories and digital visibility across the chain. Technology plays a dual role: analytics, AI and Internet‑of‑Things tracking improve the ability to anticipate and respond to disruptions, while digital documentation and blockchain‑enabled traceability can reduce delays at borders and improve compliance.</w:t>
      </w:r>
      <w:r/>
    </w:p>
    <w:p>
      <w:r/>
      <w:r>
        <w:t>Digital trade and the platform economy E‑commerce and digital platforms are democratising access to international markets, allowing small and medium enterprises to reach customers thousands of miles away without the costs of setting up foreign subsidiaries. The United Nations Conference on Trade and Development has documented rapid growth in cross‑border online shopping and cautions, however, that a persistent digital divide limits the gains available to many developing countries. Closing gaps in broadband, payments infrastructure and regulatory frameworks will be essential if digital trade is to be inclusive rather than reinforcing existing inequalities.</w:t>
      </w:r>
      <w:r/>
    </w:p>
    <w:p>
      <w:r/>
      <w:r>
        <w:t>Practical strategies for firms Market entry must be evidence‑based. Detailed market research — on consumer preferences, regulatory regimes and competitive dynamics — should guide the choice between exporting, franchising, joint ventures or setting up a local presence. Firms should cultivate trusted local partners, including distributors and legal advisers, and use trade associations and chambers of commerce as early sounding boards.</w:t>
      </w:r>
      <w:r/>
    </w:p>
    <w:p>
      <w:r/>
      <w:r>
        <w:t>Risk management cannot be an afterthought. Companies should build compliance programmes that map out tariff rules, product standards and customs procedures for each destination market. Hedging strategies, such as forward contracts and options, are necessary where currency moves can transform margins overnight. On logistics, contingency planning — alternate suppliers, flexible routing and contractual terms that allocate risk — protects revenues when markets are volatile.</w:t>
      </w:r>
      <w:r/>
    </w:p>
    <w:p>
      <w:r/>
      <w:r>
        <w:t>Public‑private levers and the role of government Governments and multilateral organisations have a clear role in lowering the costs of trade. The World Bank and other development actors invest in modernising customs, transport corridors and digital infrastructure that make exporters more competitive. Trade agreements and cooperative regulatory frameworks reduce uncertainty; yet policymakers must also be prepared to assist firms through sanctions, trade disputes or abrupt policy shifts that can close markets or raise costs.</w:t>
      </w:r>
      <w:r/>
    </w:p>
    <w:p>
      <w:r/>
      <w:r>
        <w:t>Emerging opportunities and responsibilities Growth opportunities are concentrated in several trends. Rising consumption in developing markets, expansion of cross‑border e‑commerce, and the shift to cleaner, ethically‑sourced products all create niches for exporters. At the same time, consumers and investors increasingly demand environmental, social and governance standards; integrating sustainability into trade strategies is therefore both a market differentiator and a reputational necessity.</w:t>
      </w:r>
      <w:r/>
    </w:p>
    <w:p>
      <w:r/>
      <w:r>
        <w:t>A pragmatic closing note Global trade will remain neither frictionless nor risk‑free. Its complexity requires a two‑track response: firms must sharpen their internal capabilities — from finance to logistics and compliance — while policy makers and international institutions must continue to invest in rule‑making, infrastructure and technical assistance that broaden participation. As the original analysis stresses, those who combine rigorous market intelligence with technology, resilient supply chains and sound financial practices will be best placed to turn the opportunities of global trade into durable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https://www.tradingandinvestmentnews.co.uk/global-trading-strategies-and-challenges/</w:t>
        </w:r>
      </w:hyperlink>
      <w:r>
        <w:t xml:space="preserve"> - Please view link - unable to able to access data</w:t>
      </w:r>
      <w:r/>
    </w:p>
    <w:p>
      <w:pPr>
        <w:pStyle w:val="ListNumber"/>
        <w:spacing w:line="240" w:lineRule="auto"/>
        <w:ind w:left="720"/>
      </w:pPr>
      <w:r/>
      <w:hyperlink r:id="rId11">
        <w:r>
          <w:rPr>
            <w:color w:val="0000EE"/>
            <w:u w:val="single"/>
          </w:rPr>
          <w:t>https://www.wto.org/english/thewto_E/whatis_e/whatis_e.htm</w:t>
        </w:r>
      </w:hyperlink>
      <w:r>
        <w:t xml:space="preserve"> - The World Trade Organization (WTO) is the principal international body that administers the global rules of trade. It provides a forum for negotiating trade agreements, monitors national trade policies, and operates a dispute settlement system to resolve conflicts between members. By lowering tariffs and other barriers, the WTO seeks to promote predictable, transparent trade that can raise living standards, create jobs and stimulate economic growth. It also offers technical assistance to developing countries to build trade capacity. Decisions are taken by consensus among member governments, and the WTO’s agreements form the legal foundation for most international commerce and stability globally.</w:t>
      </w:r>
      <w:r/>
    </w:p>
    <w:p>
      <w:pPr>
        <w:pStyle w:val="ListNumber"/>
        <w:spacing w:line="240" w:lineRule="auto"/>
        <w:ind w:left="720"/>
      </w:pPr>
      <w:r/>
      <w:hyperlink r:id="rId12">
        <w:r>
          <w:rPr>
            <w:color w:val="0000EE"/>
            <w:u w:val="single"/>
          </w:rPr>
          <w:t>https://www.worldbank.org/en/topic/trade/overview</w:t>
        </w:r>
      </w:hyperlink>
      <w:r>
        <w:t xml:space="preserve"> - The World Bank’s trade overview explains how international trade contributes to development by increasing market access, supporting jobs and enabling countries to benefit from comparative advantage. The Bank highlights the role of trade in poverty reduction, economic growth and integration into global value chains, while noting barriers faced by low-income countries. It provides analysis, data and policy advice to help governments improve trade logistics, regulatory frameworks and capacity for exporters, particularly small and medium-sized enterprises. The World Bank also funds projects that modernise customs, transport and digital infrastructure, aiming to make trade more inclusive, resilient and beneficial for sustainable development.</w:t>
      </w:r>
      <w:r/>
    </w:p>
    <w:p>
      <w:pPr>
        <w:pStyle w:val="ListNumber"/>
        <w:spacing w:line="240" w:lineRule="auto"/>
        <w:ind w:left="720"/>
      </w:pPr>
      <w:r/>
      <w:hyperlink r:id="rId13">
        <w:r>
          <w:rPr>
            <w:color w:val="0000EE"/>
            <w:u w:val="single"/>
          </w:rPr>
          <w:t>https://academy.iccwbo.org/trade-finance/</w:t>
        </w:r>
      </w:hyperlink>
      <w:r>
        <w:t xml:space="preserve"> - ICC Academy’s trade finance overview explains that trade finance comprises instruments and services that enable the movement of goods and services across borders by mitigating payment and performance risks. Typical products include letters of credit, documentary collections, guarantees and supply‑chain finance which help importers and exporters manage liquidity and risk. The ICC stresses that trade finance is vital for small and medium‑sized enterprises to access global markets and cites WTO estimates that 80–90% of world trade relies on trade finance. The academy also offers internationally recognised courses to build capacity, improve compliance and support digitalisation of trade documentation and standards.</w:t>
      </w:r>
      <w:r/>
    </w:p>
    <w:p>
      <w:pPr>
        <w:pStyle w:val="ListNumber"/>
        <w:spacing w:line="240" w:lineRule="auto"/>
        <w:ind w:left="720"/>
      </w:pPr>
      <w:r/>
      <w:hyperlink r:id="rId14">
        <w:r>
          <w:rPr>
            <w:color w:val="0000EE"/>
            <w:u w:val="single"/>
          </w:rPr>
          <w:t>https://www.bis.org/press/p221027.htm</w:t>
        </w:r>
      </w:hyperlink>
      <w:r>
        <w:t xml:space="preserve"> - The Bank for International Settlements’ Triennial Survey press release reports that global foreign exchange trading averaged about $7.5 trillion per day in April 2022, up markedly from 2019. The US dollar remained dominant, appearing on one side of around 88–90% of trades, while FX swaps accounted for the largest share of turnover. Trading is concentrated in major financial centres, notably the United Kingdom, the United States, Singapore, Hong Kong and Japan. The survey highlights increased short‑maturity derivatives activity and evolving market structure, underlining the importance of FX markets for currency risk management, hedging and cross‑border trade settlement and liquidity provision.</w:t>
      </w:r>
      <w:r/>
    </w:p>
    <w:p>
      <w:pPr>
        <w:pStyle w:val="ListNumber"/>
        <w:spacing w:line="240" w:lineRule="auto"/>
        <w:ind w:left="720"/>
      </w:pPr>
      <w:r/>
      <w:hyperlink r:id="rId15">
        <w:r>
          <w:rPr>
            <w:color w:val="0000EE"/>
            <w:u w:val="single"/>
          </w:rPr>
          <w:t>https://unctad.org/topic/ecommerce-and-digital-economy</w:t>
        </w:r>
      </w:hyperlink>
      <w:r>
        <w:t xml:space="preserve"> - UNCTAD’s e‑commerce and digital economy pages describe how digital technologies and online trade transform markets, offering firms and consumers greater choice, lower costs and new opportunities for job creation. UNCTAD highlights the rapid expansion of e‑commerce, the rising share of cross‑border online shopping, and the dominant role of a few large platforms. It warns that digital divides persist, limiting benefits for many developing countries, and stresses the need for better data, regulatory frameworks and infrastructure. UNCTAD provides research, policy advice and technical cooperation to help governments measure e‑commerce, design inclusive digital strategies and build capacity for sustainable digital trade growth.</w:t>
      </w:r>
      <w:r/>
    </w:p>
    <w:p>
      <w:pPr>
        <w:pStyle w:val="ListNumber"/>
        <w:spacing w:line="240" w:lineRule="auto"/>
        <w:ind w:left="720"/>
      </w:pPr>
      <w:r/>
      <w:hyperlink r:id="rId16">
        <w:r>
          <w:rPr>
            <w:color w:val="0000EE"/>
            <w:u w:val="single"/>
          </w:rPr>
          <w:t>https://www.mckinsey.com/capabilities/operations/our-insights/risk-resilience-and-rebalancing-in-global-value-chains</w:t>
        </w:r>
      </w:hyperlink>
      <w:r>
        <w:t xml:space="preserve"> - McKinsey’s report on risk, resilience and rebalancing in global value chains analyses how shocks — from trade disputes and pandemics to natural disasters — affect complex international supply networks. It classifies disruptions by impact, frequency and lead time, and shows firms face recurring material interruptions that can erase substantial profits. The study recommends strengthening supply‑chain risk management through diversification, redundancy, regionalisation and improved transparency. It highlights the growing role of digital tools such as analytics, AI and the Internet of Things to model scenarios, increase visibility and speed up responses. The report argues that firms should balance efficiency with resilience.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dingandinvestmentnews.co.uk/global-trading-strategies-and-challenges/" TargetMode="External"/><Relationship Id="rId11" Type="http://schemas.openxmlformats.org/officeDocument/2006/relationships/hyperlink" Target="https://www.wto.org/english/thewto_E/whatis_e/whatis_e.htm" TargetMode="External"/><Relationship Id="rId12" Type="http://schemas.openxmlformats.org/officeDocument/2006/relationships/hyperlink" Target="https://www.worldbank.org/en/topic/trade/overview" TargetMode="External"/><Relationship Id="rId13" Type="http://schemas.openxmlformats.org/officeDocument/2006/relationships/hyperlink" Target="https://academy.iccwbo.org/trade-finance/" TargetMode="External"/><Relationship Id="rId14" Type="http://schemas.openxmlformats.org/officeDocument/2006/relationships/hyperlink" Target="https://www.bis.org/press/p221027.htm" TargetMode="External"/><Relationship Id="rId15" Type="http://schemas.openxmlformats.org/officeDocument/2006/relationships/hyperlink" Target="https://unctad.org/topic/ecommerce-and-digital-economy" TargetMode="External"/><Relationship Id="rId16" Type="http://schemas.openxmlformats.org/officeDocument/2006/relationships/hyperlink" Target="https://www.mckinsey.com/capabilities/operations/our-insights/risk-resilience-and-rebalancing-in-global-value-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