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Vendors risk margin erosion unless they treat marketing funds as measurable assets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Vendor marketing funds are among the most powerful — and most neglected — levers in channel strategy. According to a company blog from Enable, these funds total staggering sums: more than $600 billion a year in the United States and roughly €500 billion across the EU, distributed through a mix of special pricing agreements (SPAs), market development funds (MDF), co‑op programmes and volume rebates. Yet despite their scale, many vendors and distributors still treat them as shadow money: counted, recorded and tallied, but rarely measured for impact or optimised as drivers of growth.</w:t>
      </w:r>
      <w:r/>
    </w:p>
    <w:p>
      <w:r/>
      <w:r>
        <w:t>A fragmented toolkit, fragile measurement The mechanics of vendor funding are familiar. SPAs and co‑op arrangements are typically “front‑door” mechanisms deployed proactively to accelerate specific sales, while volume rebates are “back‑door” incentives tied to purchase thresholds. Industry commentary drawn on consultancy research notes the same four common structures and shows similar behavioural patterns: resellers often prefer back‑door rebates because they can improve margin without immediately altering customer‑facing list prices.</w:t>
      </w:r>
      <w:r/>
    </w:p>
    <w:p>
      <w:r/>
      <w:r>
        <w:t>But multiple accounts describe an operational reality that undermines strategic intent. Distributors and manufacturers still rely on spreadsheets, ERPs not designed for incentive tracking, and bespoke databases that do not integrate across partners. The result is poor benchmarking, little standardised ROI tracking, and high administrative overhead. Enable’s analysis finds a wide performance gap: top performers are using vendor funds at about 16% of cost of goods sold (COGS), average performers around 7% and low performers only 3% — a gulf that, in industries where return on sales often sits between 3% and 6%, can determine whether a business thrives or merely survives.</w:t>
      </w:r>
      <w:r/>
    </w:p>
    <w:p>
      <w:r/>
      <w:r>
        <w:t>Transparency — and the data that enables it — is the unlock A recurring theme across the sector is the value of downstream data. The Enable blog and complementary industry sources argue that sharing point‑of‑sale (POS) and distributor data back to manufacturers transforms fund allocation from guesswork into precision. When vendors can see actual buying patterns and end‑customer behaviour, they can target programmes to specific segments, forecast demand more accurately and scale funding to what demonstrably generates revenue and margin.</w:t>
      </w:r>
      <w:r/>
    </w:p>
    <w:p>
      <w:r/>
      <w:r>
        <w:t>Corporate case studies back this up. A channel data management account of 3M’s work with a shared platform shows how consuming downstream POS and distributor reporting standardised data collection, created role‑based dashboards, improved forecasting and inventory planning, and enabled targeted marketing and joint business planning. The case demonstrates a practical effect: lower barriers to reporting, stronger partner engagement and materially better returns from vendor marketing programmes.</w:t>
      </w:r>
      <w:r/>
    </w:p>
    <w:p>
      <w:r/>
      <w:r>
        <w:t>Software as the bridge between counting and managing The gap between theory and practice often comes down to execution at scale. Multiple vendors of rebate and incentive automation point to the same functionality as critical: centralised rules and accruals, automated calculations and settlements, simulation and analytics, role‑specific workflows and ERP integration. PROS, for example, describes rebate management systems that eliminate manual errors, speed approvals and provide auditable records — all measures that reduce disputes, improve margin visibility and shorten time to value when running complex programmes.</w:t>
      </w:r>
      <w:r/>
    </w:p>
    <w:p>
      <w:r/>
      <w:r>
        <w:t>Enable’s findings suggest these tools matter commercially: distributors using specialised fund management software leverage roughly 40% more vendor funds than those without such systems, and enjoy a roughly 5 percentage‑point COGS advantage over competitors that rely on manual processes. Industrial Distribution and consultancy reports echo that professionalising vendor‑fund management is becoming a distinct managerial discipline for distributors — not merely a back‑office task but a strategic capability to protect margins amid intensifying online competition.</w:t>
      </w:r>
      <w:r/>
    </w:p>
    <w:p>
      <w:r/>
      <w:r>
        <w:t>The pressure to modernise is accelerating Macro trends strengthen the argument for investment. Analysts project sustained growth in B2B e‑commerce and a rising share of transactions moving online; one market forecast cited in industry discussion expects US B2B e‑commerce to expand substantially in the coming years. As buyers migrate to digital channels and price transparency increases, the cost of misallocated or under‑measured vendor funds will rise: funds that were previously absorbed into opaque pricing structures will instead need to be deployed with precision to defend share and margin.</w:t>
      </w:r>
      <w:r/>
    </w:p>
    <w:p>
      <w:r/>
      <w:r>
        <w:t>Operational and governance issues still matter Technical capability alone is not enough. The literature on MDF and co‑op programmes highlights persistent administrative challenges: unclear participation rules, difficulty in proving eligible activity, and underutilisation where local partners lack the bandwidth to claim funds. Wikipedia’s overview of MDFs underscores that many programmes fail not for lack of budget but for lack of clear rules, consistent tracking and partner enablement — all problems that automation and agreed data protocols can help address.</w:t>
      </w:r>
      <w:r/>
    </w:p>
    <w:p>
      <w:r/>
      <w:r>
        <w:t>Practical principles for turning funds into growth Across vendor blogs, industry commentary and vendor case studies, a consistent set of recommendations emerges:</w:t>
      </w:r>
      <w:r/>
      <w:r/>
    </w:p>
    <w:p>
      <w:pPr>
        <w:pStyle w:val="ListBullet"/>
        <w:spacing w:line="240" w:lineRule="auto"/>
        <w:ind w:left="720"/>
      </w:pPr>
      <w:r/>
      <w:r>
        <w:t>Agree data‑sharing rules up front. Define who supplies which data, how it will be used, and the outcomes expected before launching POS‑backed programmes.</w:t>
      </w:r>
      <w:r/>
    </w:p>
    <w:p>
      <w:pPr>
        <w:pStyle w:val="ListBullet"/>
        <w:spacing w:line="240" w:lineRule="auto"/>
        <w:ind w:left="720"/>
      </w:pPr>
      <w:r/>
      <w:r>
        <w:t>Link funding to measurable performance. Make allocation conditional on outcomes; scale commitments where shared data proves lift, and reassess where it does not.</w:t>
      </w:r>
      <w:r/>
    </w:p>
    <w:p>
      <w:pPr>
        <w:pStyle w:val="ListBullet"/>
        <w:spacing w:line="240" w:lineRule="auto"/>
        <w:ind w:left="720"/>
      </w:pPr>
      <w:r/>
      <w:r>
        <w:t>Centralise and automate. Use rebate and fund management platforms to consolidate rules, automate accruals and settlements, and provide a single source of truth for vendors and partners.</w:t>
      </w:r>
      <w:r/>
    </w:p>
    <w:p>
      <w:pPr>
        <w:pStyle w:val="ListBullet"/>
        <w:spacing w:line="240" w:lineRule="auto"/>
        <w:ind w:left="720"/>
      </w:pPr>
      <w:r/>
      <w:r>
        <w:t>Reduce partner friction. Lower reporting barriers and provide role‑based dashboards so local resellers can capture and claim funds without disproportionate administrative effort.</w:t>
      </w:r>
      <w:r/>
    </w:p>
    <w:p>
      <w:pPr>
        <w:pStyle w:val="ListBullet"/>
        <w:spacing w:line="240" w:lineRule="auto"/>
        <w:ind w:left="720"/>
      </w:pPr>
      <w:r/>
      <w:r>
        <w:t>Treat MDF governance as a core discipline. Set clear participation criteria, standardise evidence requirements and embed ROI metrics into programme design.</w:t>
      </w:r>
      <w:r/>
      <w:r/>
    </w:p>
    <w:p>
      <w:r/>
      <w:r>
        <w:t>Maintaining editorial distance from vendor claims It is worth noting that much of this commentary and the data cited originate in vendor materials and consultancy work. Enable’s blog, for example, advances both the analysis and a recommendation set that logically supports investment in its own platform; industry vendors such as PROS and e2open similarly describe product capabilities that map to the sector’s needs. That does not diminish the argument — multiple independent case studies and industry summaries point to consistent benefits from improved transparency and automation — but it does underline the need for organisations to validate claims against their own channel economics before committing large budgets.</w:t>
      </w:r>
      <w:r/>
    </w:p>
    <w:p>
      <w:r/>
      <w:r>
        <w:t>A competitive edge defined by data The coming phase of channel competition will be shaped less by product alone and more by the quality of shared information: timely POS insight, accurate distributor reporting and measurable linkages between funding and commercial outcomes. Organisations that move beyond counting to measuring and managing their vendor funds — and that pair governance with technology — should be better positioned to deploy marketing budgets where they drive the most durable returns. As the industry shifts online and buyers demand ever greater transparency, the firms that professionalise vendor‑fund management now will enjoy a compound advantage in partner trust, margin protection and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https://www.enable.com/blog/from-counting-to-measuring-and-managing-vendor-funds</w:t>
        </w:r>
      </w:hyperlink>
      <w:r>
        <w:t xml:space="preserve"> - Please view link - unable to able to access data</w:t>
      </w:r>
      <w:r/>
    </w:p>
    <w:p>
      <w:pPr>
        <w:pStyle w:val="ListNumber"/>
        <w:spacing w:line="240" w:lineRule="auto"/>
        <w:ind w:left="720"/>
      </w:pPr>
      <w:r/>
      <w:hyperlink r:id="rId10">
        <w:r>
          <w:rPr>
            <w:color w:val="0000EE"/>
            <w:u w:val="single"/>
          </w:rPr>
          <w:t>https://www.enable.com/blog/from-counting-to-measuring-and-managing-vendor-funds</w:t>
        </w:r>
      </w:hyperlink>
      <w:r>
        <w:t xml:space="preserve"> - This Enable blog explains why vendor marketing funds are a major, yet under-managed, source of channel advantage. It summarises Enable’s 2018/2024 research estimates of very large annual vendor funds in the US and EU, outlines the principal fund types (SPAs, MDF, co‑op funds and volume rebates) and contrasts “front‑door” programmes with “back‑door” rebates. The article argues that traditional spreadsheet and siloed ERP tracking counts funds but fails to measure ROI, and recommends POS transparency, agreed data sharing and specialised rebate/fund management software to centralise, analyse and act on channel data to improve targeting, forecasting and fund ROI.</w:t>
      </w:r>
      <w:r/>
    </w:p>
    <w:p>
      <w:pPr>
        <w:pStyle w:val="ListNumber"/>
        <w:spacing w:line="240" w:lineRule="auto"/>
        <w:ind w:left="720"/>
      </w:pPr>
      <w:r/>
      <w:hyperlink r:id="rId11">
        <w:r>
          <w:rPr>
            <w:color w:val="0000EE"/>
            <w:u w:val="single"/>
          </w:rPr>
          <w:t>https://www.inddist.com/business-technology/blog/13777463/vendor-funds-management-a-new-discipline-for-distributors</w:t>
        </w:r>
      </w:hyperlink>
      <w:r>
        <w:t xml:space="preserve"> - This Industrial Distribution piece, drawing on Benfield Consulting research, treats vendor funds as a growing managerial discipline for distributors. It explains the four common fund types (rebates, SPAs, co‑op and MDF), reports benchmark usage as a percentage of cost of goods sold (noting top performers capture materially higher shares), and links the rise of online competitors to increased vendor funding needs. The article documents that leading distributors using software secure better outcomes, discusses the operational complexity of fund tracking, and highlights e‑commerce growth pressures that make professional fund management and automation essential to protect margins and compete effectively.</w:t>
      </w:r>
      <w:r/>
    </w:p>
    <w:p>
      <w:pPr>
        <w:pStyle w:val="ListNumber"/>
        <w:spacing w:line="240" w:lineRule="auto"/>
        <w:ind w:left="720"/>
      </w:pPr>
      <w:r/>
      <w:hyperlink r:id="rId12">
        <w:r>
          <w:rPr>
            <w:color w:val="0000EE"/>
            <w:u w:val="single"/>
          </w:rPr>
          <w:t>https://en.wikipedia.org/wiki/Market_development_funds</w:t>
        </w:r>
      </w:hyperlink>
      <w:r>
        <w:t xml:space="preserve"> - The Wikipedia entry on Market Development Funds (MDF) defines MDF/co‑op funds as vendor‑provided marketing budgets for channel partners—resellers, distributors or retailers—to promote a brand or product locally. It describes common funding structures (stipends, fixed quantity, discount, and rebate/reimbursement) and explains administrative and participation challenges. The page notes MDFs are used for local campaigns, events, advertising and lead generation, and contrasts discretionary MDF with accrual‑based co‑op funding. It also highlights that many programmes suffer from underutilisation or implementation problems, emphasising the need for clear rules and proper tracking to measure ROI.</w:t>
      </w:r>
      <w:r/>
    </w:p>
    <w:p>
      <w:pPr>
        <w:pStyle w:val="ListNumber"/>
        <w:spacing w:line="240" w:lineRule="auto"/>
        <w:ind w:left="720"/>
      </w:pPr>
      <w:r/>
      <w:hyperlink r:id="rId13">
        <w:r>
          <w:rPr>
            <w:color w:val="0000EE"/>
            <w:u w:val="single"/>
          </w:rPr>
          <w:t>https://www.e2open.com/resources/optimize-channel-sales-leverage-channel-data-management/</w:t>
        </w:r>
      </w:hyperlink>
      <w:r>
        <w:t xml:space="preserve"> - This e2open resource describes a channel data management case study with 3M and explains how consuming downstream POS and distributor data unlocks actionable channel insight. It outlines problems 3M faced—fragmented partner reporting, difficulty identifying end customers and inconsistent data—and shows how a shared platform standardised data collection, enabled role‑based dashboards, improved forecasting and inventory planning, and supported targeted marketing and joint business planning. The case highlights how lowering partner barriers to reporting and creating a single data set can increase market penetration, strengthen partner engagement and deliver better, measurable ROI from vendor marketing programmes.</w:t>
      </w:r>
      <w:r/>
    </w:p>
    <w:p>
      <w:pPr>
        <w:pStyle w:val="ListNumber"/>
        <w:spacing w:line="240" w:lineRule="auto"/>
        <w:ind w:left="720"/>
      </w:pPr>
      <w:r/>
      <w:hyperlink r:id="rId14">
        <w:r>
          <w:rPr>
            <w:color w:val="0000EE"/>
            <w:u w:val="single"/>
          </w:rPr>
          <w:t>https://pros.com/products/rebate-management/</w:t>
        </w:r>
      </w:hyperlink>
      <w:r>
        <w:t xml:space="preserve"> - PROS describes rebate and incentive management software that automates accruals, calculations and settlements to eliminate manual errors and reduce disputes. The page explains features such as centralised rebate rules, role‑specific workflows, simulation and analytics, and integration with pricing and ERP systems. It argues that automation speeds approvals, improves accuracy of financial accruals, reduces administrative overhead, and strengthens supplier and channel relationships by providing transparent, auditable records. The result is faster claims processing, fewer true‑ups and disputes, improved margin visibility and quicker time to value when running complex vendor rebate or co‑op programmes.</w:t>
      </w:r>
      <w:r/>
    </w:p>
    <w:p>
      <w:pPr>
        <w:pStyle w:val="ListNumber"/>
        <w:spacing w:line="240" w:lineRule="auto"/>
        <w:ind w:left="720"/>
      </w:pPr>
      <w:r/>
      <w:hyperlink r:id="rId15">
        <w:r>
          <w:rPr>
            <w:color w:val="0000EE"/>
            <w:u w:val="single"/>
          </w:rPr>
          <w:t>https://www.forrester.com/press-newsroom/forrester-us-b2b-e-commerce-will-reach-an-estimated-3-trillion-by-2027/</w:t>
        </w:r>
      </w:hyperlink>
      <w:r>
        <w:t xml:space="preserve"> - This Forrester press release summarises Forrester’s B2B e‑commerce forecast: accelerating online adoption, double‑digit growth and a large increase in the share of B2B sales conducted online. Forrester projects US B2B e‑commerce will grow with a multi‑year CAGR in the high single digits to low double digits and reach roughly $3 trillion by 2027, rising from mid‑teens share of total B2B sales to about a quarter. The release underlines changing buyer behaviour, stronger digital channels and explains why vendors and distributors must invest in digital and data capabilities to remain competitive in an evolving channel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able.com/blog/from-counting-to-measuring-and-managing-vendor-funds" TargetMode="External"/><Relationship Id="rId11" Type="http://schemas.openxmlformats.org/officeDocument/2006/relationships/hyperlink" Target="https://www.inddist.com/business-technology/blog/13777463/vendor-funds-management-a-new-discipline-for-distributors" TargetMode="External"/><Relationship Id="rId12" Type="http://schemas.openxmlformats.org/officeDocument/2006/relationships/hyperlink" Target="https://en.wikipedia.org/wiki/Market_development_funds" TargetMode="External"/><Relationship Id="rId13" Type="http://schemas.openxmlformats.org/officeDocument/2006/relationships/hyperlink" Target="https://www.e2open.com/resources/optimize-channel-sales-leverage-channel-data-management/" TargetMode="External"/><Relationship Id="rId14" Type="http://schemas.openxmlformats.org/officeDocument/2006/relationships/hyperlink" Target="https://pros.com/products/rebate-management/" TargetMode="External"/><Relationship Id="rId15" Type="http://schemas.openxmlformats.org/officeDocument/2006/relationships/hyperlink" Target="https://www.forrester.com/press-newsroom/forrester-us-b2b-e-commerce-will-reach-an-estimated-3-trillion-by-20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