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CATL and JAC form strategic alliance to accelerate global electric vehicle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October 25, Contemporary Amperex Technology Co. Limited (CATL) and JAC Group formalised a strategic partnership to deepen cooperation across technology development, supply chain reinforcement, and international market expansion. The announcement, posted on CATL's official WeChat account, underscores a collaborative effort aimed at elevating the performance, safety, and efficiency of JAC's vehicle portfolio by leveraging CATL’s advanced battery technologies.</w:t>
      </w:r>
      <w:r/>
    </w:p>
    <w:p>
      <w:r/>
      <w:r>
        <w:t>JAC Group, known for integrating vehicle manufacturing with mobility services, is accelerating its move into the premium segment with its "MAEXTRO" lineup. This series incorporates CATL’s latest Qilin and Shenxing batteries, which feature ultra-fast charging, dual-surface cooling, NP2.0 thermal protection, and reinforced underbody safety systems. These innovations collectively enhance vehicle reliability and user experience through improved efficiency and safety standards.</w:t>
      </w:r>
      <w:r/>
    </w:p>
    <w:p>
      <w:r/>
      <w:r>
        <w:t>The partnership envisions a tripartite strategic focus: securing supply chain resilience, co-developing next-generation battery and vehicle technologies, and expanding JAC’s presence in global markets. CATL has pledged long-term, high-quality power battery support across JAC’s entire vehicle lineup, aiming to ensure consistent quality and maintain technological leadership. Joint efforts will also target breakthroughs in ultra-fast charging, dual-core battery architectures, extended battery life, integrated intelligent chassis (CIIC) systems, battery swapping ecosystems, and data-driven applications. These advances are intended to accelerate the commercialisation of cutting-edge technologies and deliver tangible consumer benefits.</w:t>
      </w:r>
      <w:r/>
    </w:p>
    <w:p>
      <w:r/>
      <w:r>
        <w:t>On the international front, CATL and JAC plan to collaborate on electric vehicle development tailored to differing global markets, promoting JAC’s passenger vehicle brands—including JAC, Yiwei, and Refine—alongside its commercial vehicle division, Ankai. This suggests an ambition to broaden both companies’ reach and influence beyond China's domestic market.</w:t>
      </w:r>
      <w:r/>
    </w:p>
    <w:p>
      <w:r/>
      <w:r>
        <w:t>This CATL-JAC collaboration is part of CATL’s broader strategy to deepen ties with major automotive players. Recent strategic agreements with other automakers underline this trend: in July 2025, CATL and Geely Auto expanded their cooperation to foster electrification and integrate battery platforms; in March 2023, CATL partnered with BAIC Group to jointly develop EV battery products and support BAIC’s new energy vehicle production.</w:t>
      </w:r>
      <w:r/>
    </w:p>
    <w:p>
      <w:r/>
      <w:r>
        <w:t>Beyond automakers, CATL has also entered agreements to promote green transportation and energy infrastructure. For example, its alliances with Jiangxi Communications Investment Group focus on developing charging and battery swapping stations alongside photovoltaic and energy storage systems to underpin green transport corridors. Moreover, CATL’s collaboration with Sinopec aims to build a nationwide battery-swapping ecosystem leveraging Sinopec's gas station network to facilitate convenient and efficient electric vehicle energy replenishment.</w:t>
      </w:r>
      <w:r/>
    </w:p>
    <w:p>
      <w:r/>
      <w:r>
        <w:t>In the realm of intelligent mobility, CATL’s partnership with robot car developer JIDU involves supplying advanced battery products and pursuing new technologies to support the intelligent mobility industry. These initiatives show CATL’s commitment to being at the forefront of EV technological innovation and infrastructure development.</w:t>
      </w:r>
      <w:r/>
    </w:p>
    <w:p>
      <w:r/>
      <w:r>
        <w:t>Collectively, these strategic partnerships reflect CATL’s multifaceted vision to integrate advanced battery technology with supply chain robustness, industry collaborations, and supportive infrastructure, driving forward the global electrification of transport. The alliance with JAC is a significant addition to this strategy, combining cutting-edge battery innovation with premium vehicle manufacturing aimed at delivering enhanced user experiences and expanding international reach. CATL and JAC will continue to explore innovations in both power battery technologies and business models, signalling a sustained commitment to shaping the future of new energy vehicles on multiple fronts.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https://autonews.gasgoo.com/new_energy/70039581.html</w:t>
        </w:r>
      </w:hyperlink>
      <w:r>
        <w:t xml:space="preserve"> - Please view link - unable to able to access data</w:t>
      </w:r>
      <w:r/>
    </w:p>
    <w:p>
      <w:pPr>
        <w:pStyle w:val="ListNumber"/>
        <w:spacing w:line="240" w:lineRule="auto"/>
        <w:ind w:left="720"/>
      </w:pPr>
      <w:r/>
      <w:hyperlink r:id="rId11">
        <w:r>
          <w:rPr>
            <w:color w:val="0000EE"/>
            <w:u w:val="single"/>
          </w:rPr>
          <w:t>https://www.catl.com/en/news/6496.html</w:t>
        </w:r>
      </w:hyperlink>
      <w:r>
        <w:t xml:space="preserve"> - On July 4, 2025, CATL and Geely Auto signed a strategic cooperation agreement to deepen collaboration in power battery technology, product platform integration, and supply chain development. This partnership aims to promote comprehensive electrification and establish a more efficient and stable cooperation mechanism across the entire industrial chain. Since their initial cooperation in 2013, CATL has been involved in Geely's new energy vehicle product planning, providing cost-effective cell solutions for the Geometry series and supporting technological upgrades for the Galaxy series. The introduction of Qilin batteries in the Zeekr 001 and the Freevoy Super Hybrid Battery in the Lynk &amp; Co 900 further exemplify this ongoing collaboration.</w:t>
      </w:r>
      <w:r/>
    </w:p>
    <w:p>
      <w:pPr>
        <w:pStyle w:val="ListNumber"/>
        <w:spacing w:line="240" w:lineRule="auto"/>
        <w:ind w:left="720"/>
      </w:pPr>
      <w:r/>
      <w:hyperlink r:id="rId12">
        <w:r>
          <w:rPr>
            <w:color w:val="0000EE"/>
            <w:u w:val="single"/>
          </w:rPr>
          <w:t>https://www.catl.com/en/news/6008.html</w:t>
        </w:r>
      </w:hyperlink>
      <w:r>
        <w:t xml:space="preserve"> - On March 13, 2023, CATL and BAIC Group entered into a strategic partnership agreement focusing on business cooperation and advanced technology application. The agreement outlines plans for joint development of electric vehicle (EV) battery products to further explore the new energy vehicle market. CATL is set to be deeply involved in the vehicle development and production of BAIC Group's electric vehicles, providing competitive EV battery products and services. This partnership aims to establish a closer strategic relationship to promote comprehensive cooperation in EV batteries.</w:t>
      </w:r>
      <w:r/>
    </w:p>
    <w:p>
      <w:pPr>
        <w:pStyle w:val="ListNumber"/>
        <w:spacing w:line="240" w:lineRule="auto"/>
        <w:ind w:left="720"/>
      </w:pPr>
      <w:r/>
      <w:hyperlink r:id="rId13">
        <w:r>
          <w:rPr>
            <w:color w:val="0000EE"/>
            <w:u w:val="single"/>
          </w:rPr>
          <w:t>https://www.catl.com/en/news/6246.html</w:t>
        </w:r>
      </w:hyperlink>
      <w:r>
        <w:t xml:space="preserve"> - On May 9, 2024, CATL entered into a strategic partnership agreement with Jiangxi Communications Investment Group Co., Ltd. (JCIG) to promote green transportation. The agreement focuses on leveraging respective strengths to integrate resources and cooperate in promoting the application of new energy in various scenarios, including electric heavy-duty trucks. Both parties plan to jointly build charging and battery swapping networks in highway service areas, develop distributed photovoltaic and energy storage systems, and create 'green corridors' for medium and short-distance travel, fostering a new energy supply ecosystem for green transportation.</w:t>
      </w:r>
      <w:r/>
    </w:p>
    <w:p>
      <w:pPr>
        <w:pStyle w:val="ListNumber"/>
        <w:spacing w:line="240" w:lineRule="auto"/>
        <w:ind w:left="720"/>
      </w:pPr>
      <w:r/>
      <w:hyperlink r:id="rId14">
        <w:r>
          <w:rPr>
            <w:color w:val="0000EE"/>
            <w:u w:val="single"/>
          </w:rPr>
          <w:t>https://www.catl.com/en/news/6127.html</w:t>
        </w:r>
      </w:hyperlink>
      <w:r>
        <w:t xml:space="preserve"> - On October 21, 2023, JIDU and CATL signed a strategic cooperation agreement to jointly promote the R&amp;D, mass production, and application of new energy technology and products for robot cars. CATL has provided high-performance EV battery products and service support for the JI YUE 01. The future collaboration includes cooperation in new projects and new technologies, as well as the supply of Shenxing superfast charging batteries, aiming to jointly promote the development of the intelligent mobility industry chain.</w:t>
      </w:r>
      <w:r/>
    </w:p>
    <w:p>
      <w:pPr>
        <w:pStyle w:val="ListNumber"/>
        <w:spacing w:line="240" w:lineRule="auto"/>
        <w:ind w:left="720"/>
      </w:pPr>
      <w:r/>
      <w:hyperlink r:id="rId15">
        <w:r>
          <w:rPr>
            <w:color w:val="0000EE"/>
            <w:u w:val="single"/>
          </w:rPr>
          <w:t>https://www.catl.com/en/news/6396.html</w:t>
        </w:r>
      </w:hyperlink>
      <w:r>
        <w:t xml:space="preserve"> - On April 2, 2025, CATL and Sinopec signed a cooperation framework agreement in Beijing. The agreement commits both parties to an extensive and long-term strategic partnership to establish a nationwide battery-swapping ecosystem, with plans to complete no less than 500 battery swap stations within the year and up to 10,000 in the long run. The collaboration aims to leverage Sinopec's nationwide gas station network and CATL's R&amp;D expertise in cutting-edge battery technology and battery swap systems to create an efficient, convenient, and cost-effective energy replenishment network.</w:t>
      </w:r>
      <w:r/>
    </w:p>
    <w:p>
      <w:pPr>
        <w:pStyle w:val="ListNumber"/>
        <w:spacing w:line="240" w:lineRule="auto"/>
        <w:ind w:left="720"/>
      </w:pPr>
      <w:r/>
      <w:hyperlink r:id="rId16">
        <w:r>
          <w:rPr>
            <w:color w:val="0000EE"/>
            <w:u w:val="single"/>
          </w:rPr>
          <w:t>https://www.catl.com/en/news/6227.html</w:t>
        </w:r>
      </w:hyperlink>
      <w:r>
        <w:t xml:space="preserve"> - On March 13, 2024, CATL signed a strategic cooperation framework agreement with Sinopec Group (Sinopec) in Beijing. The agreement focuses on promoting the demonstration and application of intelligent BESS charging technology in microgrid scenarios, accelerating the development of passenger vehicle battery swapping business, and exploring the feasibility of allocating commercial vehicle battery swapping facilities in integrated energy stations. The collaboration also includes jointly promoting the formulation and revision of standards related to battery applications and cooperating in research on whole-life-cycle carbon footprint measurement methodology of petrochemical products.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utonews.gasgoo.com/new_energy/70039581.html" TargetMode="External"/><Relationship Id="rId11" Type="http://schemas.openxmlformats.org/officeDocument/2006/relationships/hyperlink" Target="https://www.catl.com/en/news/6496.html" TargetMode="External"/><Relationship Id="rId12" Type="http://schemas.openxmlformats.org/officeDocument/2006/relationships/hyperlink" Target="https://www.catl.com/en/news/6008.html" TargetMode="External"/><Relationship Id="rId13" Type="http://schemas.openxmlformats.org/officeDocument/2006/relationships/hyperlink" Target="https://www.catl.com/en/news/6246.html" TargetMode="External"/><Relationship Id="rId14" Type="http://schemas.openxmlformats.org/officeDocument/2006/relationships/hyperlink" Target="https://www.catl.com/en/news/6127.html" TargetMode="External"/><Relationship Id="rId15" Type="http://schemas.openxmlformats.org/officeDocument/2006/relationships/hyperlink" Target="https://www.catl.com/en/news/6396.html" TargetMode="External"/><Relationship Id="rId16" Type="http://schemas.openxmlformats.org/officeDocument/2006/relationships/hyperlink" Target="https://www.catl.com/en/news/622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