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Commercial partnerships shift towards transparency and data-driven alliances at Elevate UK</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paradigm of trading relationships in the commercial sector is undergoing a profound transformation. No longer confined to transactional exchanges, the most successful partnerships today are predicated on strategic alliances characterised by transparency, shared data, and mutual accountability. This evolution was a central theme at Elevate UK, where leaders from manufacturing, distribution, and retail converged to discuss how breaking down silos and aligning around common goals is reshaping commercial operations.</w:t>
      </w:r>
      <w:r/>
    </w:p>
    <w:p>
      <w:r/>
      <w:r>
        <w:t>For decades, manufacturers, distributors, and retailers traditionally operated in distinct lanes, often prioritising their own internal objectives and protecting margins. However, Enable’s CEO Andrew Butt highlighted a critical shift: the elite performers treat their trading partners as seamless extensions of their business. This mindset distinguishes the modern, agile organisations from those struggling to keep pace in a rapidly evolving commercial environment.</w:t>
      </w:r>
      <w:r/>
    </w:p>
    <w:p>
      <w:r/>
      <w:r>
        <w:t>Spencer Brown, Group VP of Category Management at Rubix, encapsulated this change by reflecting on his earlier career, when rebate data was jealously guarded to maintain leverage and control. He admitted, "My finance director would not believe a word that I was saying," illustrating how mistrust hampered effective collaboration. Today, transparency in information sharing has become not only a necessity but a strategic asset driving growth.</w:t>
      </w:r>
      <w:r/>
    </w:p>
    <w:p>
      <w:r/>
      <w:r>
        <w:t>Data sharing is foundational to this new era of trust. Paul Needham, Director of Information Systems and Data at SIG, explained how integrating structured rebate data into sales, ERP, and CRM systems creates a continuous flow of granular insights. This data convergence supports more accurate, informed decisions, enabling a proactive rather than reactive commercial approach. Similarly, Henderson Group’s Business Support Manager, Leanne Hamilton, underscored the value of accessible institutional knowledge, citing an experience where critical data was locked in an individual’s memory, revealing the risks of siloed information.</w:t>
      </w:r>
      <w:r/>
    </w:p>
    <w:p>
      <w:r/>
      <w:r>
        <w:t>The move towards a single source of truth facilitates not only internal collaboration among sales, finance, and operations teams but also extends to external trading partnerships. Brown emphasised the value of sharing data openly with suppliers and customers to gain a holistic view of commercial objectives and challenges. Such strategic transparency reduces surprises and accelerates mutual growth, reinforcing anecdotal evidence from SIG that suppliers increasingly demand direct access to rebate information.</w:t>
      </w:r>
      <w:r/>
    </w:p>
    <w:p>
      <w:r/>
      <w:r>
        <w:t>Rebates have been reimagined as instruments for strategic alignment rather than mere financial transactions. By redesigning rebate platforms to serve customer needs — such as reducing the wait for promotional fund returns from two weeks to near immediate — Henderson Group optimises cash flow for over 500 customers, driving increased purchase volumes. Brown revealed that Rubix had uncovered significant unclaimed supplier rebates due to lack of consolidated information, highlighting substantial untapped financial potential when transparency and data centralisation are embraced.</w:t>
      </w:r>
      <w:r/>
    </w:p>
    <w:p>
      <w:r/>
      <w:r>
        <w:t>Despite the increasing role of technology, the human element remains vital. Hamilton spoke warmly about maintaining face-to-face interactions with suppliers, which build trust beyond what data alone can achieve. Brown also stressed the importance of clear, speedy communication, preferring honesty from suppliers, even if the answer is no, to enable swift alternative solutions.</w:t>
      </w:r>
      <w:r/>
    </w:p>
    <w:p>
      <w:r/>
      <w:r>
        <w:t>This shift signals a new commercial standard where collaboration is no longer optional but imperative. Companies that thrive will be those that treat partners not as external vendors but as integral team members, sharing insights, co-investing in growth, and utilising data to align around common goals. In a world characterised by continuous change, partnership is arguably the only scalable strategy.</w:t>
      </w:r>
      <w:r/>
    </w:p>
    <w:p>
      <w:r/>
      <w:r>
        <w:t>This reorientation resonates with broader definitions of strategic alliances, which are understood as agreements between independent organisations to pursue common objectives for mutual benefit. As noted in academic sources, these alliances focus on leveraging synergies, shared risks, and resources without merging organisational identities, a framework reflected in the commercial collaborations described by industry leaders.</w:t>
      </w:r>
      <w:r/>
    </w:p>
    <w:p>
      <w:r/>
      <w:r>
        <w:t>Furthermore, advanced technologies offer promising avenues to bolster transparency and trust. Emerging blockchain-based platforms, for instance, enable secure, decentralised data sharing while preserving confidentiality and accountability. These innovations, highlighted in academic and industry analyses, align well with the principles of mutual transparency and data-driven trust that underpin contemporary trading partnerships.</w:t>
      </w:r>
      <w:r/>
    </w:p>
    <w:p>
      <w:r/>
      <w:r>
        <w:t>In sum, the commercial landscape is witnessing a fundamental realignment: from rigid, siloed transactions to dynamic, data-enabled strategic partnerships. Companies embracing this collaborative approach report tangible benefits—stronger relationships, improved forecasting, faster deal cycles, and sustained competitive advantage—signalling that the future of commercial success hinges on shared vision, trust, and innovation.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https://www.enable.com/blog/collaboration-in-the-new-commercial-era</w:t>
        </w:r>
      </w:hyperlink>
      <w:r>
        <w:t xml:space="preserve"> - Please view link - unable to able to access data</w:t>
      </w:r>
      <w:r/>
    </w:p>
    <w:p>
      <w:pPr>
        <w:pStyle w:val="ListNumber"/>
        <w:spacing w:line="240" w:lineRule="auto"/>
        <w:ind w:left="720"/>
      </w:pPr>
      <w:r/>
      <w:hyperlink r:id="rId11">
        <w:r>
          <w:rPr>
            <w:color w:val="0000EE"/>
            <w:u w:val="single"/>
          </w:rPr>
          <w:t>https://en.wikipedia.org/wiki/Strategic_alliance</w:t>
        </w:r>
      </w:hyperlink>
      <w:r>
        <w:t xml:space="preserve"> - A strategic alliance is an agreement between two or more parties to pursue a set of agreed-upon objectives while remaining independent organizations. This collaboration aims for synergy, where each partner hopes that the benefits from the alliance will be greater than those from individual efforts. Strategic alliances often involve technology transfer, economic specialization, shared expenses, and shared risk. Unlike joint ventures, firms in a strategic alliance do not form a new entity but collaborate while maintaining their distinct identities. Such alliances can help companies develop more effective processes, expand into new markets, or gain advantages over competitors.</w:t>
      </w:r>
      <w:r/>
    </w:p>
    <w:p>
      <w:pPr>
        <w:pStyle w:val="ListNumber"/>
        <w:spacing w:line="240" w:lineRule="auto"/>
        <w:ind w:left="720"/>
      </w:pPr>
      <w:r/>
      <w:hyperlink r:id="rId12">
        <w:r>
          <w:rPr>
            <w:color w:val="0000EE"/>
            <w:u w:val="single"/>
          </w:rPr>
          <w:t>https://arxiv.org/abs/2103.13158</w:t>
        </w:r>
      </w:hyperlink>
      <w:r>
        <w:t xml:space="preserve"> - The paper presents TRADE (TRusted Anonymous Data Exchange), a collaborative, distributed, trusted, and anonymized cyber threat intelligence (CTI) sharing platform based on blockchain technology. TRADE uses a blockchain-based access control framework designed to incentivize organizations to share threat intelligence information. Organizations can control their data by defining sharing policies enforced by smart contracts, preserving anonymity while maintaining accountability. TRADE can be integrated within existing threat intelligence exchange protocols, allowing for smooth technology adaptation.</w:t>
      </w:r>
      <w:r/>
    </w:p>
    <w:p>
      <w:pPr>
        <w:pStyle w:val="ListNumber"/>
        <w:spacing w:line="240" w:lineRule="auto"/>
        <w:ind w:left="720"/>
      </w:pPr>
      <w:r/>
      <w:hyperlink r:id="rId13">
        <w:r>
          <w:rPr>
            <w:color w:val="0000EE"/>
            <w:u w:val="single"/>
          </w:rPr>
          <w:t>https://moldstud.com/articles/p-case-studies-how-companies-are-leveraging-blockchain-for-supply-chain-transparency</w:t>
        </w:r>
      </w:hyperlink>
      <w:r>
        <w:t xml:space="preserve"> - This article discusses how companies are leveraging blockchain technology to enhance transparency in their supply chains. Examples include Walmart using blockchain to trace the origin of food products, reducing traceability time from six days to seconds; De Beers tracking the provenance of diamonds to ensure they are conflict-free; and Heineken sharing data with suppliers and distributors to improve collaboration and reduce delays. The article also mentions Pfizer using blockchain to combat counterfeit drugs and Maersk and IBM developing TradeLens, a blockchain-based shipping platform to improve collaboration and reduce paperwork.</w:t>
      </w:r>
      <w:r/>
    </w:p>
    <w:p>
      <w:pPr>
        <w:pStyle w:val="ListNumber"/>
        <w:spacing w:line="240" w:lineRule="auto"/>
        <w:ind w:left="720"/>
      </w:pPr>
      <w:r/>
      <w:hyperlink r:id="rId14">
        <w:r>
          <w:rPr>
            <w:color w:val="0000EE"/>
            <w:u w:val="single"/>
          </w:rPr>
          <w:t>https://arxiv.org/abs/2007.06813</w:t>
        </w:r>
      </w:hyperlink>
      <w:r>
        <w:t xml:space="preserve"> - The paper proposes BDTF, a blockchain-based data trading framework with a Trusted Execution Environment (TEE) to provide a trusted decentralized platform for fair data trading. In this design, a blockchain network facilitates payments from data buyers to data sellers, and a trusted exchange is built using a TEE to achieve fair data transmission. This framework allows data buyers and sellers to conduct transactions directly, ensuring fair completion of data trading. The implementation on Ethereum and Intel SGX demonstrates the framework's effectiveness in guaranteeing fair data trading.</w:t>
      </w:r>
      <w:r/>
    </w:p>
    <w:p>
      <w:pPr>
        <w:pStyle w:val="ListNumber"/>
        <w:spacing w:line="240" w:lineRule="auto"/>
        <w:ind w:left="720"/>
      </w:pPr>
      <w:r/>
      <w:hyperlink r:id="rId15">
        <w:r>
          <w:rPr>
            <w:color w:val="0000EE"/>
            <w:u w:val="single"/>
          </w:rPr>
          <w:t>https://www.numberanalytics.com/blog/innovative-data-collaboration-banking</w:t>
        </w:r>
      </w:hyperlink>
      <w:r>
        <w:t xml:space="preserve"> - The article highlights innovative data collaboration techniques transforming the banking sector, focusing on case studies from JPMorgan Chase and BBVA. JPMorgan Chase developed over 300 APIs, processing more than 12 billion calls annually, creating a vibrant ecosystem for internal and external collaboration. This led to a 71% reduction in partner onboarding time, $250 million annual technology cost savings, and a 4.2x increase in developer productivity. BBVA's cloud transformation involved creating a unified data platform that consolidated over 600 data sources into a cloud-based data lake architecture, enabling collaboration across departments and regions.</w:t>
      </w:r>
      <w:r/>
    </w:p>
    <w:p>
      <w:pPr>
        <w:pStyle w:val="ListNumber"/>
        <w:spacing w:line="240" w:lineRule="auto"/>
        <w:ind w:left="720"/>
      </w:pPr>
      <w:r/>
      <w:hyperlink r:id="rId16">
        <w:r>
          <w:rPr>
            <w:color w:val="0000EE"/>
            <w:u w:val="single"/>
          </w:rPr>
          <w:t>https://www.mckinsey.com/capabilities/quantumblack/our-insights/collaborating-for-the-common-good</w:t>
        </w:r>
      </w:hyperlink>
      <w:r>
        <w:t xml:space="preserve"> - This article discusses the importance of transparency, accountability, and clear communication in robust governance for strong multisectoral collaboration. It emphasizes the need for partners to create mechanisms that support mutual transparency and a clear articulation of each party's interests and constraints. The article also highlights the significance of identifying and balancing competing stakeholder incentives, committing to clear use cases with measurable outcomes, and establishing operational plans with auditing and ethical oversight processes to ensure effective collaboration.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nable.com/blog/collaboration-in-the-new-commercial-era" TargetMode="External"/><Relationship Id="rId11" Type="http://schemas.openxmlformats.org/officeDocument/2006/relationships/hyperlink" Target="https://en.wikipedia.org/wiki/Strategic_alliance" TargetMode="External"/><Relationship Id="rId12" Type="http://schemas.openxmlformats.org/officeDocument/2006/relationships/hyperlink" Target="https://arxiv.org/abs/2103.13158" TargetMode="External"/><Relationship Id="rId13" Type="http://schemas.openxmlformats.org/officeDocument/2006/relationships/hyperlink" Target="https://moldstud.com/articles/p-case-studies-how-companies-are-leveraging-blockchain-for-supply-chain-transparency" TargetMode="External"/><Relationship Id="rId14" Type="http://schemas.openxmlformats.org/officeDocument/2006/relationships/hyperlink" Target="https://arxiv.org/abs/2007.06813" TargetMode="External"/><Relationship Id="rId15" Type="http://schemas.openxmlformats.org/officeDocument/2006/relationships/hyperlink" Target="https://www.numberanalytics.com/blog/innovative-data-collaboration-banking" TargetMode="External"/><Relationship Id="rId16" Type="http://schemas.openxmlformats.org/officeDocument/2006/relationships/hyperlink" Target="https://www.mckinsey.com/capabilities/quantumblack/our-insights/collaborating-for-the-common-goo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