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generic drug manufacturers are transforming hospital formularies into strategic assets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healthcare landscape, the hospital formulary has evolved into a crucial strategic tool that goes well beyond a mere list of medications. It serves as a dynamic system designed to manage medication use, costs, and patient safety, governed by multidisciplinary Pharmacy &amp; Therapeutics (P&amp;T) Committees. For generic drug manufacturers, gaining access to hospital formularies is no longer about simply offering the lowest price. Instead, success requires a sophisticated approach that builds a compelling, multifaceted value proposition aligned with hospitals’ broader goals of clinical efficacy, operational efficiency, risk mitigation, and financial stewardship.</w:t>
      </w:r>
      <w:r/>
    </w:p>
    <w:p>
      <w:r/>
      <w:r>
        <w:t>Generic drugs form the backbone of American healthcare, accounting for around 90% of all prescriptions but only 17.5% of total spending, generating $408 billion in savings for the US healthcare system in 2022 alone. Despite this, formulary inclusion is no longer a straightforward race to the bottom in pricing. Formularies increasingly employ restrictive models such as tiered or closed systems, prioritizing not only cost but also clinical outcomes and long-term value. Hospitals are shifting from open formularies, which provide broad access but limited cost control, toward tiered formularies that incentivize the use of preferred, cost-effective drugs or value-based formularies that emphasize total cost of care through pharmacoeconomic evaluation.</w:t>
      </w:r>
      <w:r/>
    </w:p>
    <w:p>
      <w:r/>
      <w:r>
        <w:t>Central to this decision-making process is the P&amp;T Committee, a diverse coalition of clinicians, pharmacists, administrators, and increasingly health economists, whose role is to establish safe, effective, and cost-efficient medication use policies for the hospital. Their decisions reflect a complex interplay of clinical data, economic analyses, and operational realities, requiring manufacturers to tailor their submissions to address the unique concerns of each stakeholder group. Clinical efficacy and safety must be indisputable, backed by clear bioequivalence data and comprehensive information on excipients, real-world evidence, and any nuances such as risks associated with narrow therapeutic index (NTI) drugs.</w:t>
      </w:r>
      <w:r/>
    </w:p>
    <w:p>
      <w:r/>
      <w:r>
        <w:t>Equally vital is a robust economic argument, often presented through a detailed Budget Impact Analysis (BIA) within a Cost-Minimization Analysis framework. This economic model must extend beyond acquisition costs to reflect downstream savings such as reduced nursing time, lower laboratory monitoring expenses, or decreased drug wastage due to superior packaging. Such comprehensive economic modeling builds trust with hospital administrators and reinforces the value of switching to a generic beyond upfront savings.</w:t>
      </w:r>
      <w:r/>
    </w:p>
    <w:p>
      <w:r/>
      <w:r>
        <w:t>In situations where generics are clinically and economically comparable, operational excellence becomes the decisive factor. A reliable supply chain has emerged as a paramount differentiator amid widespread drug shortages that jeopardize patient care. Manufacturers investing in dual sourcing, high-quality manufacturing practices, and transparent communication about supply status offer hospitals tangible risk mitigation against costly shortages. Additional operational advantages include safety-enhancing packaging features like unit-dose presentation, clear and distinguishable labelling with tall-man lettering, barcoding compatible with electronic health records, and compliance with standards for handling hazardous drugs. These elements improve medication safety, minimize administration errors, and streamline hospital workflows.</w:t>
      </w:r>
      <w:r/>
    </w:p>
    <w:p>
      <w:r/>
      <w:r>
        <w:t>Best practices also highlight the importance of early and strategic engagement with hospital decision makers via Pre-Approval Information Exchange (PIE), enabling committees to assess forthcoming generics ahead of patent expirations. This proactive communication helps anchor expectations on costs and clinical value, accelerates formulary decision timelines, and counters brand-name companies' lifecycle management tactics. Patent intelligence tools such as DrugPatentWatch provide manufacturers with critical insights to navigate complex patent landscapes, anticipate competitor strategies, and tailor their formulary submissions effectively.</w:t>
      </w:r>
      <w:r/>
    </w:p>
    <w:p>
      <w:r/>
      <w:r>
        <w:t>The broader ecosystem further complicates market access. Group Purchasing Organizations (GPOs) wield significant influence in hospital purchasing, often securing exclusive contracts that demand aggressive pricing but potentially undermine supply security due to market consolidation. Generic manufacturers must therefore adopt dual strategies, competing for volume-driven GPO contracts while forging direct relationships with hospitals for critical or shortage-prone drugs by emphasising supply reliability and operational value. On the outpatient side, Pharmacy Benefit Managers (PBMs) indirectly impact inpatient formularies through their control over post-discharge medication coverage, making alignment across care settings a competitive advantage that smooths patient transitions and reduces readmission risks.</w:t>
      </w:r>
      <w:r/>
    </w:p>
    <w:p>
      <w:r/>
      <w:r>
        <w:t>Post-formulary acceptance engagement remains crucial to drive actual utilization. Tailored education and communication plans for physicians, pharmacists, nurses, and patients help overcome clinical inertia, brand loyalty, and patient anxiety about generic switches. Clinical messaging should reinforce bioequivalence and safety; operational messages should highlight ease of use and supply assurance; patient materials should address changes in pill appearance to improve adherence.</w:t>
      </w:r>
      <w:r/>
    </w:p>
    <w:p>
      <w:r/>
      <w:r>
        <w:t>Real-world case studies illustrate these principles in action. For example, increased generic adoption at Japan’s Gifu Municipal Hospital not only lowered costs internally but positively influenced surrounding pharmacies and community prescribing patterns. In contrast, therapeutic interchange policies within the U.S. Veterans Affairs (VA) system demonstrate the savings potential of centralized, closed formularies vastly exceeding those in decentralized Medicare Part D plans. Conversely, the challenges around antiepileptic drugs underscore the need for nuanced strategies with NTI medications, balancing cost savings with clinical safety and patient stability.</w:t>
      </w:r>
      <w:r/>
    </w:p>
    <w:p>
      <w:r/>
      <w:r>
        <w:t>In sum, the modern hospital formulary environment demands generic manufacturers move beyond price competition to adopt a holistic value proposition grounded in clinical integrity, economic rigor, and operational excellence, supported by intelligent early engagement and ecosystem navigation. Those who master these elements position their generics not merely as cheaper alternatives but as indispensable partners contributing to safe, efficient, and sustainable healthcare delivery.</w:t>
      </w:r>
      <w:r/>
    </w:p>
    <w:p>
      <w:r/>
      <w:r>
        <w:t>Key takeaways include treating the formulary as a dynamic management system, addressing the diverse priorities of P&amp;T Committee members, mastering clinical, economic, and operational pillars of value, leveraging supply chain reliability as a competitive edge, using patent intelligence and pre-approval communication strategically, considering the influence of GPOs and PBMs, and investing in post-listing education to ensure market penetration and sustained success.</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https://www.drugpatentwatch.com/blog/a-strategic-guide-to-positioning-your-generic-drug-for-hospital-market-access/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ugpatentwatch.com/blog/a-strategic-guide-to-positioning-your-generic-drug-for-hospital-market-a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