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pharma governance to accelerate decision-making and scientific integrity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pharmaceutical industry’s capacity to convert scientific discovery into patient access depends as much on governance as it does on science. The orthodox model, multiple overlapping committees, sequential sign-offs and diffuse accountability, has become a strategic liability in an era where competitive windows close quickly and clinical data arrive on fixed timelines. According to the lead article from World Pharma Today, companies with traditional governance often take 60–90 days to resolve major portfolio decisions that could be made in 15–30 days under modern frameworks, a delay that compounds cost, erodes optionality and can lock firms into suboptimal investments.</w:t>
      </w:r>
      <w:r/>
    </w:p>
    <w:p>
      <w:r/>
      <w:r>
        <w:t>The diagnosis is familiar: committee proliferation creates a governance paradox. Structures intended to ensure diligence instead bake in delay because decision rights are unclear, advisory layers multiply handoffs and functional accountability is diffused. The result is repeated rework, stale information by the time approval is reached and decisions that reflect who happened to be in the room rather than an explicit owner’s judgement. The lead article argues that the cure is not more committees but clearer decision architecture, explicit escalation triggers and embedded cross‑functional ownership.</w:t>
      </w:r>
      <w:r/>
    </w:p>
    <w:p>
      <w:r/>
      <w:r>
        <w:t>A three‑tier decision model is emerging as an operational standard among progressive organisations. Strategic decisions, entry into new therapeutic areas or major modality bets, sit with a top‑level portfolio committee that sets boundaries and cadence. Day‑to‑day asset choices are devolved to core project teams that include the programme head, lead clinical scientist, CMC specialist, regulatory representative and commercial strategist. Pre‑defined escalation criteria determine when issues move up the hierarchy. According to the World Pharma Today piece, embedding advisory expertise directly on asset teams eliminates sequential reviews and allows routine choices to be taken at pace while reserving portfolio‑level scrutiny for the genuinely consequential decisions.</w:t>
      </w:r>
      <w:r/>
    </w:p>
    <w:p>
      <w:r/>
      <w:r>
        <w:t>McKinsey’s body of work, synthesised across several recent reports, reinforces and expands these prescriptions. McKinsey highlights consolidation of decision bodies and the practice of integrating advisory discussions into asset teams as accelerants of speed and quality. The consultancy points to real‑world precedent during the COVID‑19 vaccine effort, noting that Pfizer and other organisations adapted governance and resource deployment to make rapid, high‑stakes decisions, an example of how temporary flexibility can be codified into lasting operating‑model improvements. McKinsey also advocates dynamic, at‑risk and parallel resource deployment so organisations can pivot investment quickly as trial data or market intelligence shifts.</w:t>
      </w:r>
      <w:r/>
    </w:p>
    <w:p>
      <w:r/>
      <w:r>
        <w:t>Agility and data are central to successful modernisation. McKinsey’s work on agile transformations emphasises devolving decision authority to the team level and creating daily or weekly cadences that replace episodic committee reviews. Industry examples show organisations devolving up to 80% of decisions to team meetings within months of starting agile changes, increasing throughput without proportionate headcount growth. Complementary investments in data, analytics and portfolio dashboards are crucial; teams must have real‑time visibility of trial metrics, manufacturing yields and external competitive signals so decisions are defensible and timely.</w:t>
      </w:r>
      <w:r/>
    </w:p>
    <w:p>
      <w:r/>
      <w:r>
        <w:t>Implementation is pragmatic rather than doctrinaire. The lead article recommends beginning with decision mapping: auditing the set of significant portfolio choices, categorising them by frequency and impact, and assigning the optimal decision owner for each. A typical organisation can reduce governance bodies by 30–40% while preserving decision quality if it redistributes authority and documents expectations clearly. Establishing cadence‑based reviews, standard monthly asset meetings, quarterly portfolio reviews and annual strategic sessions, creates predictable rhythms that reduce last‑minute scramble and encourage proactive information assembly.</w:t>
      </w:r>
      <w:r/>
    </w:p>
    <w:p>
      <w:r/>
      <w:r>
        <w:t>Addressing the common concern that speed might undermine scientific integrity, both the lead article and McKinsey contend that clarified decision rights strengthen, not weaken, scientific discipline. When ownership is explicit, the leader of an asset team carries accountability for advancing or terminating a programme and is judged against recorded assumptions and outcomes. Embedding the lead scientist within the decision‑making team ensures that those with the deepest domain knowledge, rather than part‑time overseers, shape trial designs and go/no‑go calls. Organisations that build targeted scientific review into cadence reviews, inviting internal or external advisors only where their input materially changes the decision, preserve rigorous scrutiny while avoiding overreach.</w:t>
      </w:r>
      <w:r/>
    </w:p>
    <w:p>
      <w:r/>
      <w:r>
        <w:t>Governance reform also requires cultural and technical enablers. Change typically takes six to 12 months and succeeds most often when piloted in one or two therapeutic areas before enterprise roll‑out. Clear, repeated communication about why roles are changing mitigates the perception that streamlining excludes stakeholders. Technology investments, portfolio management platforms, integrated dashboards and automated reporting, convert governance redesign into operational reality, enabling decision makers to act on current, trusted data rather than lagging slide decks.</w:t>
      </w:r>
      <w:r/>
    </w:p>
    <w:p>
      <w:r/>
      <w:r>
        <w:t>Measuring the impact of governance modernisation is straightforward and essential. Decision cycle time is the primary operational metric; the lead article reports common improvements of 30–50%. Cost per decision falls as executive time is conserved. Decision reversal rates and portfolio outcomes, return on invested capital, success rates and time to market, provide downstream validation. McKinsey’s research links faster, more transparent decision processes to improved R&amp;D capacity, higher‑quality prioritisation and accelerated regulatory submissions when combined with digitisation and automation.</w:t>
      </w:r>
      <w:r/>
    </w:p>
    <w:p>
      <w:r/>
      <w:r>
        <w:t>There are trade‑offs and risks. Rapid decision cycles demand rigorous documentation to preserve learning and accountability; they also require carefully drawn escalation criteria to prevent important issues being under‑escalated. Strategic alignment must be maintained through clear company‑level frameworks so autonomous asset teams make choices that reinforce, rather than fragment, corporate priorities. The lead article underscores transparency: when portfolio decisions are communicated with rationale, the broader organisation can act in ways that align with strategy.</w:t>
      </w:r>
      <w:r/>
    </w:p>
    <w:p>
      <w:r/>
      <w:r>
        <w:t>In an industry where scientific advances are hard‑won and competitive advantage is often fleeting, governance is a durable lever. According to the World Pharma Today analysis and corroborating McKinsey reports, companies that replace committee bloat with decision‑rights governance, embed cross‑functional expertise into asset teams, invest in data‑driven operating models and measure the right outcomes can both speed decisions and strengthen scientific discipline. For organisations seeking a sustained edge, governance modernization is not an administrative nicety but a strategic imperative that shapes which medicines reach patients, and how quickly they do so.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https://www.worldpharmatoday.com/techno-trends/modernizing-governance-structures-for-faster-portfolio-decisions/</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https://www.mckinsey.com/industries/life-sciences/our-insights/strengthening-the-r-and-d-operating-model-for-pharmaceutical-companies</w:t>
        </w:r>
      </w:hyperlink>
      <w:r>
        <w:t xml:space="preserve"> - This article discusses how pharmaceutical companies can enhance their R&amp;D operating models by streamlining governance structures. It suggests consolidating decision-making bodies and integrating advisory discussions directly into asset teams to accelerate critical decisions. The piece highlights Pfizer's approach during the COVID-19 pandemic, where leaders adjusted processes to make critical decisions swiftly, contributing to the rapid development of vaccines. The article emphasizes the importance of dynamic, at-risk, and parallel resource deployment to adapt strategies based on clinical trial data and market intelligence.</w:t>
      </w:r>
      <w:r/>
    </w:p>
    <w:p>
      <w:pPr>
        <w:pStyle w:val="ListNumber"/>
        <w:spacing w:line="240" w:lineRule="auto"/>
        <w:ind w:left="720"/>
      </w:pPr>
      <w:r/>
      <w:hyperlink r:id="rId12">
        <w:r>
          <w:rPr>
            <w:color w:val="0000EE"/>
            <w:u w:val="single"/>
          </w:rPr>
          <w:t>https://www.mckinsey.com/industries/life-sciences/our-insights/r-and-d-in-the-age-of-agile</w:t>
        </w:r>
      </w:hyperlink>
      <w:r>
        <w:t xml:space="preserve"> - This article explores the adoption of agile methodologies in pharmaceutical R&amp;D to accelerate decision-making processes. It highlights the need for evolving governance models to support real-time decisions, embedding integrated resource-management solutions for transparency, and resetting the governance mindset to view rapid decision-making as a competitive advantage. The piece also discusses the importance of data and analytics in turbocharging the operating model, ensuring a significant investment in data sets and analytical capabilities to support agile transformations.</w:t>
      </w:r>
      <w:r/>
    </w:p>
    <w:p>
      <w:pPr>
        <w:pStyle w:val="ListNumber"/>
        <w:spacing w:line="240" w:lineRule="auto"/>
        <w:ind w:left="720"/>
      </w:pPr>
      <w:r/>
      <w:hyperlink r:id="rId13">
        <w:r>
          <w:rPr>
            <w:color w:val="0000EE"/>
            <w:u w:val="single"/>
          </w:rPr>
          <w:t>https://www.mckinsey.com/industries/life-sciences/our-insights/making-more-medicines-that-matter</w:t>
        </w:r>
      </w:hyperlink>
      <w:r>
        <w:t xml:space="preserve"> - This article examines how pharmaceutical companies can accelerate drug development by simplifying, automating, and digitizing core processes. It provides examples of value chain steps where material accelerations have been observed, such as reducing the time from preclinical candidate nomination to the first subject in from 21-26 months to 12-15 months. The piece emphasizes the need for embedding novel automation and technological solutions and operational clarity on the critical path to boost performance sustainably.</w:t>
      </w:r>
      <w:r/>
    </w:p>
    <w:p>
      <w:pPr>
        <w:pStyle w:val="ListNumber"/>
        <w:spacing w:line="240" w:lineRule="auto"/>
        <w:ind w:left="720"/>
      </w:pPr>
      <w:r/>
      <w:hyperlink r:id="rId14">
        <w:r>
          <w:rPr>
            <w:color w:val="0000EE"/>
            <w:u w:val="single"/>
          </w:rPr>
          <w:t>https://www.mckinsey.com/industries/life-sciences/our-insights/rewiring-pharmas-regulatory-submissions-with-ai-and-zero-based-design</w:t>
        </w:r>
      </w:hyperlink>
      <w:r>
        <w:t xml:space="preserve"> - This article discusses how pharmaceutical companies can accelerate regulatory submission timelines by leveraging AI and zero-based design. It outlines six building blocks that can help organizations reduce filing timelines from months to weeks, potentially unlocking significant net present value for priority assets. The piece emphasizes the importance of faster and higher-quality submissions during drug development to provide patients with earlier access to potentially life-saving therapies and to enhance the efficiency of the pharmaceutical industry.</w:t>
      </w:r>
      <w:r/>
    </w:p>
    <w:p>
      <w:pPr>
        <w:pStyle w:val="ListNumber"/>
        <w:spacing w:line="240" w:lineRule="auto"/>
        <w:ind w:left="720"/>
      </w:pPr>
      <w:r/>
      <w:hyperlink r:id="rId15">
        <w:r>
          <w:rPr>
            <w:color w:val="0000EE"/>
            <w:u w:val="single"/>
          </w:rPr>
          <w:t>https://www.mckinsey.com/industries/life-sciences/our-insights/designing-an-agile-transformation-in-pharma-r-and-d</w:t>
        </w:r>
      </w:hyperlink>
      <w:r>
        <w:t xml:space="preserve"> - This article explores how pharmaceutical companies can transform their R&amp;D functions through agility. It discusses the importance of balancing stability and flexibility, with stability providing critical elements like patient safety, and flexibility enabling rapid adaptation to external opportunities. The piece provides an example of a pharma company that, four months into an agile transformation, devolved 80% of decisions to team meetings and established daily progress discussions, resulting in a significant increase in R&amp;D capacity without adding more resources.</w:t>
      </w:r>
      <w:r/>
    </w:p>
    <w:p>
      <w:pPr>
        <w:pStyle w:val="ListNumber"/>
        <w:spacing w:line="240" w:lineRule="auto"/>
        <w:ind w:left="720"/>
      </w:pPr>
      <w:r/>
      <w:hyperlink r:id="rId16">
        <w:r>
          <w:rPr>
            <w:color w:val="0000EE"/>
            <w:u w:val="single"/>
          </w:rPr>
          <w:t>https://www.mckinsey.com/industries/life-sciences/our-insights/innovating-at-the-speed-of-the-21st-century-in-pharmaceuticals</w:t>
        </w:r>
      </w:hyperlink>
      <w:r>
        <w:t xml:space="preserve"> - This article examines how pharmaceutical companies can innovate rapidly in the 21st century. It discusses the trend of companies focusing on large therapeutic areas, such as oncology, to speed up learning curves and timelines. The piece also highlights the risks associated with this focus, including the potential for disruptive innovations or changes in government policy to alter business models overnight. It emphasizes the need for companies to carefully consider their strategic focus and balance between specialization and diversification.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rldpharmatoday.com/techno-trends/modernizing-governance-structures-for-faster-portfolio-decisions/" TargetMode="External"/><Relationship Id="rId11" Type="http://schemas.openxmlformats.org/officeDocument/2006/relationships/hyperlink" Target="https://www.mckinsey.com/industries/life-sciences/our-insights/strengthening-the-r-and-d-operating-model-for-pharmaceutical-companies" TargetMode="External"/><Relationship Id="rId12" Type="http://schemas.openxmlformats.org/officeDocument/2006/relationships/hyperlink" Target="https://www.mckinsey.com/industries/life-sciences/our-insights/r-and-d-in-the-age-of-agile" TargetMode="External"/><Relationship Id="rId13" Type="http://schemas.openxmlformats.org/officeDocument/2006/relationships/hyperlink" Target="https://www.mckinsey.com/industries/life-sciences/our-insights/making-more-medicines-that-matter" TargetMode="External"/><Relationship Id="rId14" Type="http://schemas.openxmlformats.org/officeDocument/2006/relationships/hyperlink" Target="https://www.mckinsey.com/industries/life-sciences/our-insights/rewiring-pharmas-regulatory-submissions-with-ai-and-zero-based-design" TargetMode="External"/><Relationship Id="rId15" Type="http://schemas.openxmlformats.org/officeDocument/2006/relationships/hyperlink" Target="https://www.mckinsey.com/industries/life-sciences/our-insights/designing-an-agile-transformation-in-pharma-r-and-d" TargetMode="External"/><Relationship Id="rId16" Type="http://schemas.openxmlformats.org/officeDocument/2006/relationships/hyperlink" Target="https://www.mckinsey.com/industries/life-sciences/our-insights/innovating-at-the-speed-of-the-21st-century-in-pharmaceutic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