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embrace digital and regional strategies to turn volatility into growth drivers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organisations prepare budgets, renegotiate contracts and redesign networks for 2026, the mood among many supply‑chain professionals is shifting from wary defence to constructive expansion. After years spent shoring up operations against shocks, firms now see opportunities to translate hard‑won resilience into growth, provided they act deliberately.</w:t>
      </w:r>
      <w:r/>
    </w:p>
    <w:p>
      <w:r/>
      <w:r>
        <w:t>Global economic forecasts lend measured support to that optimism. According to the World Bank, the world economy is expected to expand by 2.6% in 2026 and 2.7% in 2027, with the United States a notable contributor to the upward revision. The United Nations projects broadly similar outcomes, although it warns that growth remains slightly below the pace seen in 2025 and that persistent underinvestment and constrained fiscal space could keep the decade’s performance muted. Together these assessments suggest that while a clear recovery is not guaranteed, the macro backdrop is less hostile than many feared.</w:t>
      </w:r>
      <w:r/>
    </w:p>
    <w:p>
      <w:r/>
      <w:r>
        <w:t>That improved backdrop coexists with a new operating reality. A World Economic Forum report describes an era of structural volatility for global value chains, driven by geopolitical fragmentation, rapid technological change and tighter resource constraints. The implication for logistics leaders is that volatility is now a long‑term feature of the landscape rather than an episodic problem to be resolved. Consequently, resilience has moved to the front of corporate agendas: the report finds nearly three quarters of business leaders prioritise investments aimed at strengthening their capacity to absorb shocks.</w:t>
      </w:r>
      <w:r/>
    </w:p>
    <w:p>
      <w:r/>
      <w:r>
        <w:t>Translating resilience into advantage requires more than contingency plans. Industry analysis and consulting research point to three practical levers. First, regionalisation and network diversification are no longer fringe options. Forbes reporting shows a substantial shift toward regional networks, with more than three quarters of companies building or implementing such structures to shorten lead times and limit exposure to single points of failure. Second, digital and financial fortification matter: McKinsey’s work on resilient firms highlights rising preparedness in financial resilience and a marked improvement in digital resilience, while calling for accelerated infrastructure, skills development and broader capital access for smaller suppliers. Third, advanced technologies are being deployed not as toys but as productivity multipliers, IMF and other analyses note rapid private‑sector investment in artificial intelligence, particularly in the United States, with AI already applied by many firms to quality control, risk identification and network optimisation.</w:t>
      </w:r>
      <w:r/>
    </w:p>
    <w:p>
      <w:r/>
      <w:r>
        <w:t>Those shifts are reshaping commercial relationships. The most durable gains will come where buying organisations move from short‑term, transactional pressure toward long‑term, mutually beneficial partnerships. That means qualifying and onboarding suppliers with compatible incentives, sharing more timely data across networks, and designing contracts that reward joint performance rather than one‑sided cost extraction. The World Bank and IMF narratives both underline that private‑sector adaptability, measures such as frontloading imports, strengthening sourcing strategies and investing in automation, has been central to earlier resilience and will remain so.</w:t>
      </w:r>
      <w:r/>
    </w:p>
    <w:p>
      <w:r/>
      <w:r>
        <w:t>Yet the transition carries trade‑offs. Regional networks and stock buffer strategies can raise unit costs even as they reduce lead‑time risk. Heavy investment in AI and digitalisation can magnify returns for firms that have the scale and talent to absorb new tools, while leaving smaller players trailing unless capital and training become more widely available. The UN and multilateral studies underscore the need for policy measures and structural reforms to sustain growth equitably; without such reforms, the decade risks being the weakest for global growth since the 1960s despite pockets of strength.</w:t>
      </w:r>
      <w:r/>
    </w:p>
    <w:p>
      <w:r/>
      <w:r>
        <w:t>For logistics and supply‑chain leaders, the practical task for 2026 is clear: consolidate resilience investments that proved effective in recent years while reallocating a portion of resources toward growth‑enabling capabilities. That will look like faster digitisation of partner interfaces, broader supplier diversification that reduces single points of failure, targeted regional reshoring where it secures market access, and selective adoption of AI to automate routine decisions and surface emerging risks.</w:t>
      </w:r>
      <w:r/>
    </w:p>
    <w:p>
      <w:r/>
      <w:r>
        <w:t>The coming year offers a chance to move from damage limitation to value creation. Policymakers and private firms alike must recognise that resilience and growth are not opposites but complementary objectives. When networks are redesigned with both stability and agility in mind, and when commercial relationships reward shared success, organisations will be better placed to catch the next swell and turn volatility into a platform for sustained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https://www.inboundlogistics.com/articles/riding-the-2026-wave/</w:t>
        </w:r>
      </w:hyperlink>
      <w:r>
        <w:t xml:space="preserve"> - Please view link - unable to able to access data</w:t>
      </w:r>
      <w:r/>
    </w:p>
    <w:p>
      <w:pPr>
        <w:pStyle w:val="ListNumber"/>
        <w:spacing w:line="240" w:lineRule="auto"/>
        <w:ind w:left="720"/>
      </w:pPr>
      <w:r/>
      <w:hyperlink r:id="rId11">
        <w:r>
          <w:rPr>
            <w:color w:val="0000EE"/>
            <w:u w:val="single"/>
          </w:rPr>
          <w:t>https://www.worldbank.org/en/news/press-release/2026/01/13/global-economic-prospects-january-2026-press-release</w:t>
        </w:r>
      </w:hyperlink>
      <w:r>
        <w:t xml:space="preserve"> - The World Bank's January 2026 report indicates that the global economy is more resilient than anticipated, with growth projected at 2.6% in 2026 and 2.7% in 2027. This resilience is particularly evident in the United States, which contributes significantly to the upward revision. However, the 2020s are on track to be the weakest decade for global growth since the 1960s, highlighting the need for structural reforms to sustain growth and address income disparities.</w:t>
      </w:r>
      <w:r/>
    </w:p>
    <w:p>
      <w:pPr>
        <w:pStyle w:val="ListNumber"/>
        <w:spacing w:line="240" w:lineRule="auto"/>
        <w:ind w:left="720"/>
      </w:pPr>
      <w:r/>
      <w:hyperlink r:id="rId12">
        <w:r>
          <w:rPr>
            <w:color w:val="0000EE"/>
            <w:u w:val="single"/>
          </w:rPr>
          <w:t>https://www.weforum.org/press/2026/01/global-supply-chains-enter-era-of-structural-volatility-world-economic-forum-report-finds/</w:t>
        </w:r>
      </w:hyperlink>
      <w:r>
        <w:t xml:space="preserve"> - A World Economic Forum report released in January 2026 reveals that global value chains have entered an era of structural volatility. This shift, driven by geopolitical fragmentation, technological acceleration, and resource constraints, compels companies and governments to reassess investment strategies. The report emphasizes the importance of resilience as a driver of growth, with nearly 74% of business leaders prioritizing resilience investments.</w:t>
      </w:r>
      <w:r/>
    </w:p>
    <w:p>
      <w:pPr>
        <w:pStyle w:val="ListNumber"/>
        <w:spacing w:line="240" w:lineRule="auto"/>
        <w:ind w:left="720"/>
      </w:pPr>
      <w:r/>
      <w:hyperlink r:id="rId13">
        <w:r>
          <w:rPr>
            <w:color w:val="0000EE"/>
            <w:u w:val="single"/>
          </w:rPr>
          <w:t>https://www.un.org/sustainabledevelopment/blog/2026/01/press-release-wesp2026/</w:t>
        </w:r>
      </w:hyperlink>
      <w:r>
        <w:t xml:space="preserve"> - The United Nations' World Economic Situation and Prospects 2026 report forecasts global economic growth at 2.7% in 2026, slightly below the 2.8% estimated for 2025. While unexpected resilience to trade tensions has supported growth, underlying weaknesses persist, including subdued investment and limited fiscal space. These factors raise concerns about the potential for a persistently slower growth path than in the pre-pandemic era.</w:t>
      </w:r>
      <w:r/>
    </w:p>
    <w:p>
      <w:pPr>
        <w:pStyle w:val="ListNumber"/>
        <w:spacing w:line="240" w:lineRule="auto"/>
        <w:ind w:left="720"/>
      </w:pPr>
      <w:r/>
      <w:hyperlink r:id="rId14">
        <w:r>
          <w:rPr>
            <w:color w:val="0000EE"/>
            <w:u w:val="single"/>
          </w:rPr>
          <w:t>https://www.imf.org/en/news/articles/2025/10/17/sp101725-resilience-in-a-world-of-uncertainty</w:t>
        </w:r>
      </w:hyperlink>
      <w:r>
        <w:t xml:space="preserve"> - The International Monetary Fund's October 2025 article discusses the projected slowdown in world growth from 3.3% in 2024 to 3.1% in 2026. Despite this, private sector adaptability, such as import frontloading and supply-chain strengthening, has contributed to economic resilience. The article also highlights the booming private sector investment in artificial intelligence, particularly in the U.S., which is supporting global growth and providing favorable financial conditions.</w:t>
      </w:r>
      <w:r/>
    </w:p>
    <w:p>
      <w:pPr>
        <w:pStyle w:val="ListNumber"/>
        <w:spacing w:line="240" w:lineRule="auto"/>
        <w:ind w:left="720"/>
      </w:pPr>
      <w:r/>
      <w:hyperlink r:id="rId15">
        <w:r>
          <w:rPr>
            <w:color w:val="0000EE"/>
            <w:u w:val="single"/>
          </w:rPr>
          <w:t>https://www.mckinsey.com/capabilities/risk-and-resilience/our-insights/resilient-firms-and-economies-unlocking-growth-in-emerging-markets</w:t>
        </w:r>
      </w:hyperlink>
      <w:r>
        <w:t xml:space="preserve"> - McKinsey's report on resilient firms and economies emphasizes the importance of financial and digital resilience for emerging markets. It highlights that 40% of firms report readiness in financial resilience, while digital and technological resilience has advanced from 19% to 32%. The report outlines strategic priorities for 2026, including strengthening infrastructure and supply chains, accelerating digitalization and skills development, and expanding capital access for small and medium-sized enterprises.</w:t>
      </w:r>
      <w:r/>
    </w:p>
    <w:p>
      <w:pPr>
        <w:pStyle w:val="ListNumber"/>
        <w:spacing w:line="240" w:lineRule="auto"/>
        <w:ind w:left="720"/>
      </w:pPr>
      <w:r/>
      <w:hyperlink r:id="rId16">
        <w:r>
          <w:rPr>
            <w:color w:val="0000EE"/>
            <w:u w:val="single"/>
          </w:rPr>
          <w:t>https://www.forbes.com/sites/joemckendrick/2025/10/04/supply-chains-2026-less-globalization-more-ai/</w:t>
        </w:r>
      </w:hyperlink>
      <w:r>
        <w:t xml:space="preserve"> - A Forbes article discusses the shift in supply chain strategies towards less globalization and more artificial intelligence by 2026. It notes that over 75% of companies have implemented or are building regional networks, especially around consumption centers. The article also highlights that 70% of executives are applying AI to supply chains, with quality control and risk identification being leading areas of application. AI is expected to be a top capital investment for 75% of companies in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boundlogistics.com/articles/riding-the-2026-wave/" TargetMode="External"/><Relationship Id="rId11" Type="http://schemas.openxmlformats.org/officeDocument/2006/relationships/hyperlink" Target="https://www.worldbank.org/en/news/press-release/2026/01/13/global-economic-prospects-january-2026-press-release" TargetMode="External"/><Relationship Id="rId12" Type="http://schemas.openxmlformats.org/officeDocument/2006/relationships/hyperlink" Target="https://www.weforum.org/press/2026/01/global-supply-chains-enter-era-of-structural-volatility-world-economic-forum-report-finds/" TargetMode="External"/><Relationship Id="rId13" Type="http://schemas.openxmlformats.org/officeDocument/2006/relationships/hyperlink" Target="https://www.un.org/sustainabledevelopment/blog/2026/01/press-release-wesp2026/" TargetMode="External"/><Relationship Id="rId14" Type="http://schemas.openxmlformats.org/officeDocument/2006/relationships/hyperlink" Target="https://www.imf.org/en/news/articles/2025/10/17/sp101725-resilience-in-a-world-of-uncertainty" TargetMode="External"/><Relationship Id="rId15" Type="http://schemas.openxmlformats.org/officeDocument/2006/relationships/hyperlink" Target="https://www.mckinsey.com/capabilities/risk-and-resilience/our-insights/resilient-firms-and-economies-unlocking-growth-in-emerging-markets" TargetMode="External"/><Relationship Id="rId16" Type="http://schemas.openxmlformats.org/officeDocument/2006/relationships/hyperlink" Target="https://www.forbes.com/sites/joemckendrick/2025/10/04/supply-chains-2026-less-globalization-mor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