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Ford’s strategic agility in 2025 transforms resilience into proactive financial and operational choices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Ford's experience in 2025 turns what is often framed as abstract "resilience" into a set of financially driven choices about where to spend cash, which plants to keep running, and how to redesign supply chains so a single disruption does not translate into billions of dollars of lost profit.</w:t>
      </w:r>
      <w:r/>
    </w:p>
    <w:p>
      <w:r/>
      <w:r>
        <w:t>A simultaneous shock to critical inputs and to trade policy produced a near-term earnings hit that forced those choices into the open. Management quantified roughly $2 billion of lost earnings from fires at a major metals supplier and a further $2 billion net tariff impact after late-year changes to tariff credits for imported parts. Management says the combined $4 billion headwind should be read against an implied EBIT that would have been about $7.7 billion absent those events in 2025.</w:t>
      </w:r>
      <w:r/>
    </w:p>
    <w:p>
      <w:r/>
      <w:r>
        <w:t>Rather than curtail production or immediately pass costs to customers, Ford used balance sheet flexibility to keep plants humming. The company expects to incur $1.5–$2.0 billion of temporary continuity costs in 2026, largely in the form of higher duties and premium freight while alternative sources are developed; management does not expect those additional costs to recur once the damaged supplier is fully restored. That approach accepts lower free cash flow in the short term to avoid deeper setbacks to capacity and customer commitments, about 100,000 units of production were lost in 2025, with a planned recovery of 50,000–60,000 units in 2026 and some residual constraints remaining.</w:t>
      </w:r>
      <w:r/>
    </w:p>
    <w:p>
      <w:r/>
      <w:r>
        <w:t>Inventory discipline was part of the equation. U.S. gross stocks declined 16% year on year, finishing 2025 at around 56 retail days supply,near the low end of Ford’s 55–65 day target range. The company says this prevented a build-up of channel stock that would otherwise have forced discounts and worsened working-capital metrics later.</w:t>
      </w:r>
      <w:r/>
    </w:p>
    <w:p>
      <w:r/>
      <w:r>
        <w:t>The supply and tariff shock arrived as Ford was already steering capital toward higher-return activities. The firm has signalled that roughly three quarters of its planned multi-year capital will support truck and multi-energy platforms,with the remaining quarter allocated to energy storage and continued EV investment. Ford guides to $9.5–$10.5 billion of capital expenditure in 2026,including approximately $1.5 billion earmarked for its energy storage unit, and it expects $4–$4.5 billion of EV-related losses that year even after a $1.6 billion improvement in first-generation EV unit economics.</w:t>
      </w:r>
      <w:r/>
    </w:p>
    <w:p>
      <w:r/>
      <w:r>
        <w:t>Management has absorbed about $7 billion of charges across 2026–2027 to rebalance the EV portfolio and consolidate platforms, up to $5.5 billion of which will be cash spend,mostly in 2026. The company frames these moves as structural clean-up: exiting or repurposing capacity that fails to meet return thresholds and concentrating volume on fewer, more adaptable platforms to lower the cost-to-serve long term.</w:t>
      </w:r>
      <w:r/>
    </w:p>
    <w:p>
      <w:r/>
      <w:r>
        <w:t>Policy is now being treated as a design variable rather than a background risk. Ford expects tariff credits to lower net tariff costs by about $1 billion in 2026 versus 2025,but also flags roughly $1 billion of higher commodity and electronics costs. The firm is owed about $1 billion in tariff-related receivables from the U.S. government,illustrating how trade-credit flows are directly tied to cash management. In practice, Ford plans staged domestic capacity additions, for example, investments in Michigan and Kentucky, that add roughly $600 million of near-term pre-production cost in 2026 while aiming to reduce import exposure over time.</w:t>
      </w:r>
      <w:r/>
    </w:p>
    <w:p>
      <w:r/>
      <w:r>
        <w:t>Those localisation choices carry operational trade-offs. Bringing critical technologies onshore is capital- and labour-intensive in early years,creates new regulatory obligations and shifts supplier risk profiles. Foley &amp; Lardner analysis of the tariff environment earlier in 2025 showed suppliers worry about sub-tier distress if tariffs persist,noting tariffs on steel and aluminium could add $400–$500 per vehicle on average and relocation of an assembly line can take up to eight months. Industry surveys and consultancy data show many manufacturers are increasing inventories, diversifying sources and exploring nearshoring to blunt tariff shocks.</w:t>
      </w:r>
      <w:r/>
    </w:p>
    <w:p>
      <w:r/>
      <w:r>
        <w:t>Ford is also expanding the share of higher-margin services and software within its commercial and fleet business as a hedge against production volatility. That unit generated over $66 billion of revenue and $6.8 billion of EBIT in 2025,with software and physical services growing about 10% and now accounting for 19% of segment EBIT; paid subscriptions rose about 30%. Guidance for 2026 assumes EBIT of $6.5–$7.5 billion in the segment and roughly 6.5% growth in profit from services and software. Management argues that contractual service revenue smooths cash flow when vehicle units are disrupted and strengthens customer stickiness through uptime and productivity offerings.</w:t>
      </w:r>
      <w:r/>
    </w:p>
    <w:p>
      <w:r/>
      <w:r>
        <w:t>Ford is embedding cost reduction into product design rather than treating savings as one-off procurement wins. The company reported $1.5 billion of industrial cost improvements in 2025 against an initial $1.0 billion target and is targeting another $1.0 billion in 2026. Leadership links these gains to future launches, emphasising platform consolidation, reduced SKU complexity and supplier contracts that reward structural simplification.</w:t>
      </w:r>
      <w:r/>
    </w:p>
    <w:p>
      <w:r/>
      <w:r>
        <w:t>The firm’s investments in risk sensing and multi-tier visibility inform these strategies. In its integrated sustainability and financial report Ford describes an N‑Tier supply mapping and risk-sensing approach plus a Supplier Performance and Risk tool that aggregates multiple data inputs and aims for full deployment in 2025, capabilities intended to detect upstream signals earlier and guide sourcing or production shifts before shocks make their way into the P&amp;L. Academic work on autonomous disruption-monitoring frameworks,including multi-agent LLM-based approaches, points to growing interest in automated early-warning systems across deep supplier networks; such systems can improve detection of unstructured disruption signals and model exposure across tiers.</w:t>
      </w:r>
      <w:r/>
    </w:p>
    <w:p>
      <w:r/>
      <w:r>
        <w:t>External industry analysis corroborates the broader pattern: tariffs are reshaping supply architectures worldwide. McKinsey surveys and a March 2025 global-supply-chain report found over 80% of companies impacted by new tariffs,with many raising inventories, seeking dual sourcing and considering nearshoring while some temper digital-transformation plans because of financial constraints. Media reporting in 2025 estimated per-vehicle cost inflation from tariffs at several thousand dollars for certain models and projected tens of billions of dollars in added industry costs across U.S. automakers.</w:t>
      </w:r>
      <w:r/>
    </w:p>
    <w:p>
      <w:r/>
      <w:r>
        <w:t>For supply-chain and logistics directors outside the automotive sector, Ford’s public disclosures provide a pragmatic template. The company demonstrates how to triage between using cash to sustain throughput and tolerating near-term volume loss,how to pivot capital toward assets that meet realistic demand and policy assumptions,and how to shift the earnings mix toward services that stabilise cash when physical volumes wobble. Crucially, the case shows resilience must be codified in budgets and investment decisions, not solely in contingency plans, so that when a material upstream failure or sudden policy change arrives,the organisational response is already funded, governed and executable.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https://supplychain360.io/risk/supply-chain-resilience-strategy-brief/</w:t>
        </w:r>
      </w:hyperlink>
      <w:r>
        <w:t xml:space="preserve"> - Please view link - unable to able to access data</w:t>
      </w:r>
      <w:r/>
    </w:p>
    <w:p>
      <w:pPr>
        <w:pStyle w:val="ListNumber"/>
        <w:spacing w:line="240" w:lineRule="auto"/>
        <w:ind w:left="720"/>
      </w:pPr>
      <w:r/>
      <w:hyperlink r:id="rId11">
        <w:r>
          <w:rPr>
            <w:color w:val="0000EE"/>
            <w:u w:val="single"/>
          </w:rPr>
          <w:t>https://www.foley.com/insights/publications/2025/03/foley-automotive-update-3-19-25/</w:t>
        </w:r>
      </w:hyperlink>
      <w:r>
        <w:t xml:space="preserve"> - This article discusses the impact of increased tariffs on the automotive industry, highlighting that 97% of surveyed vehicle suppliers are concerned about financial distress among sub-tier suppliers due to announced tariffs. It notes that tariffs on steel and aluminum could raise costs by up to $400 to $500 per vehicle on average, with larger vehicles like the Ford F-150 being more affected. The piece also mentions that relocating an assembly line can take up to eight months, and that Ford is amassing inventories of USMCA-compliant parts to mitigate tariff effects.</w:t>
      </w:r>
      <w:r/>
    </w:p>
    <w:p>
      <w:pPr>
        <w:pStyle w:val="ListNumber"/>
        <w:spacing w:line="240" w:lineRule="auto"/>
        <w:ind w:left="720"/>
      </w:pPr>
      <w:r/>
      <w:hyperlink r:id="rId12">
        <w:r>
          <w:rPr>
            <w:color w:val="0000EE"/>
            <w:u w:val="single"/>
          </w:rPr>
          <w:t>https://arxiv.org/abs/2601.09680</w:t>
        </w:r>
      </w:hyperlink>
      <w:r>
        <w:t xml:space="preserve"> - This research paper introduces an AI framework designed to autonomously monitor, analyse, and respond to disruptions across extended supply networks. The system comprises seven specialised agents powered by large language models and deterministic tools, achieving high accuracy in tasks such as detecting disruption signals from unstructured news and evaluating exposure based on network structure. A real-world case study of the 2022 Russia-Ukraine conflict demonstrates the framework's operational applicability, establishing a foundational step toward building resilient, proactive, and autonomous supply chains capable of managing disruptions across deep-tier networks.</w:t>
      </w:r>
      <w:r/>
    </w:p>
    <w:p>
      <w:pPr>
        <w:pStyle w:val="ListNumber"/>
        <w:spacing w:line="240" w:lineRule="auto"/>
        <w:ind w:left="720"/>
      </w:pPr>
      <w:r/>
      <w:hyperlink r:id="rId13">
        <w:r>
          <w:rPr>
            <w:color w:val="0000EE"/>
            <w:u w:val="single"/>
          </w:rPr>
          <w:t>https://www.fiduciaryregulatory.com/pt/global/insights/global-supply-chain-horizons-march-2025</w:t>
        </w:r>
      </w:hyperlink>
      <w:r>
        <w:t xml:space="preserve"> - This report highlights the impact of new tariffs on global supply chains, noting that 82% of surveyed companies are affected by new tariffs, with 20 to 40% of their supply chain activity impacted. It discusses the consequences of these tariffs, including increased supplier and material costs and reductions in customer demand. The report also outlines various responses companies are adopting, such as increasing inventories, pursuing dual sourcing strategies, and developing supplier nearshoring or onshoring plans. Additionally, it mentions a slowdown in digital transformation efforts due to cost pressures and resource limitations.</w:t>
      </w:r>
      <w:r/>
    </w:p>
    <w:p>
      <w:pPr>
        <w:pStyle w:val="ListNumber"/>
        <w:spacing w:line="240" w:lineRule="auto"/>
        <w:ind w:left="720"/>
      </w:pPr>
      <w:r/>
      <w:hyperlink r:id="rId14">
        <w:r>
          <w:rPr>
            <w:color w:val="0000EE"/>
            <w:u w:val="single"/>
          </w:rPr>
          <w:t>https://www.mckinsey.com/capabilities/operations/our-insights/supply-chain-risk-survey</w:t>
        </w:r>
      </w:hyperlink>
      <w:r>
        <w:t xml:space="preserve"> - This McKinsey survey reveals that tariffs are reshaping global supply chains, with 82% of companies reporting an impact from new tariffs. The survey indicates that 39% of respondents have seen increases in supplier and material costs, and 30% have experienced reductions in customer demand. In response, companies are implementing various strategies, including increasing inventories, pursuing dual sourcing, and developing supplier nearshoring or onshoring plans. The survey also notes a slowdown in digital transformation efforts due to cost pressures and resource limitations.</w:t>
      </w:r>
      <w:r/>
    </w:p>
    <w:p>
      <w:pPr>
        <w:pStyle w:val="ListNumber"/>
        <w:spacing w:line="240" w:lineRule="auto"/>
        <w:ind w:left="720"/>
      </w:pPr>
      <w:r/>
      <w:hyperlink r:id="rId15">
        <w:r>
          <w:rPr>
            <w:color w:val="0000EE"/>
            <w:u w:val="single"/>
          </w:rPr>
          <w:t>https://corporate.ford.com/content/dam/corporate/us/en-us/documents/reports/2024-integrated-sustainability-and-financial-report.pdf</w:t>
        </w:r>
      </w:hyperlink>
      <w:r>
        <w:t xml:space="preserve"> - Ford's 2024 Integrated Sustainability and Financial Report discusses the company's approach to managing supply chain disruptions, including those caused by geopolitical events and natural disasters. It details the implementation of an N-Tier Supply Mapping and Risk Sensing solution, which provides a consolidated view of Ford’s multi-tier supplier network and daily risk events. The report also highlights the development of a predictive tool named Supplier Performance and Risk (SPR), designed to monitor various data inputs to mitigate potential supply disruptions, aiming for complete deployment of collaborative tools in 2025.</w:t>
      </w:r>
      <w:r/>
    </w:p>
    <w:p>
      <w:pPr>
        <w:pStyle w:val="ListNumber"/>
        <w:spacing w:line="240" w:lineRule="auto"/>
        <w:ind w:left="720"/>
      </w:pPr>
      <w:r/>
      <w:hyperlink r:id="rId16">
        <w:r>
          <w:rPr>
            <w:color w:val="0000EE"/>
            <w:u w:val="single"/>
          </w:rPr>
          <w:t>https://www.manufacturingdive.com/news/ford-q1-2025-tariffs-lowers-earnings-outlook/747258/</w:t>
        </w:r>
      </w:hyperlink>
      <w:r>
        <w:t xml:space="preserve"> - This article reports on Ford's financial outlook in the face of new tariffs. Analysts estimate that the 25% tariffs on imported auto parts have added approximately $4,911 to the production cost of each vehicle assembled in the U.S. The article also notes that U.S. automakers, including Ford, GM, and Stellantis, are projected to face combined additional costs of approximately $41.7 billion due to these tariffs. The piece highlights the significant impact of tariffs on the automotive industry's supply chain and production costs.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risk/supply-chain-resilience-strategy-brief/" TargetMode="External"/><Relationship Id="rId11" Type="http://schemas.openxmlformats.org/officeDocument/2006/relationships/hyperlink" Target="https://www.foley.com/insights/publications/2025/03/foley-automotive-update-3-19-25/" TargetMode="External"/><Relationship Id="rId12" Type="http://schemas.openxmlformats.org/officeDocument/2006/relationships/hyperlink" Target="https://arxiv.org/abs/2601.09680" TargetMode="External"/><Relationship Id="rId13" Type="http://schemas.openxmlformats.org/officeDocument/2006/relationships/hyperlink" Target="https://www.fiduciaryregulatory.com/pt/global/insights/global-supply-chain-horizons-march-2025" TargetMode="External"/><Relationship Id="rId14" Type="http://schemas.openxmlformats.org/officeDocument/2006/relationships/hyperlink" Target="https://www.mckinsey.com/capabilities/operations/our-insights/supply-chain-risk-survey" TargetMode="External"/><Relationship Id="rId15" Type="http://schemas.openxmlformats.org/officeDocument/2006/relationships/hyperlink" Target="https://corporate.ford.com/content/dam/corporate/us/en-us/documents/reports/2024-integrated-sustainability-and-financial-report.pdf" TargetMode="External"/><Relationship Id="rId16" Type="http://schemas.openxmlformats.org/officeDocument/2006/relationships/hyperlink" Target="https://www.manufacturingdive.com/news/ford-q1-2025-tariffs-lowers-earnings-outlook/7472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