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Resilience becomes a strategic imperative as global fragmentation accelerates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2026, businesses are being forced to rewire their assumptions about global operations as political friction and regulatory fragmentation reshape the technology landscape. Where cost-minimising models and global uniformity once dominated boardroom strategy, executives increasingly prioritise the capacity to absorb shocks and reconfigure quickly. That shift is visible across cloud strategy, supply chains, leadership practices and the way organisations deploy artificial intelligence.</w:t>
      </w:r>
      <w:r/>
    </w:p>
    <w:p>
      <w:r/>
      <w:r>
        <w:t>The move toward nationalised control of data and compute has accelerated the fragmentation of previously global platforms. According to Gartner, spending on sovereign-cloud infrastructure-as-a-service is set to reach US$80 billion in 2026, a jump of more than a third on the prior year, driven largely by governments, regulated sectors and critical infrastructure providers seeking digital autonomy. Market players are responding: CrowdStrike announced new in-country cloud deployments for Saudi Arabia, India and the United Arab Emirates to provide local data residency while preserving a unified global security model, and Microsoft has expanded in-country data processing options for its Copilot AI to additional markets as part of a broader push to keep AI data handling within regional boundaries. Those moves reflect an industry trend away from one global stack toward a patchwork of compliant, local environments.</w:t>
      </w:r>
      <w:r/>
    </w:p>
    <w:p>
      <w:r/>
      <w:r>
        <w:t>For multinational organisations the consequence is architectural complexity rather than simplicity. A single, centralised IT estate no longer guarantees regulatory compliance or operational continuity. Leading firms are adopting multi-local platforms that instantiate region-specific variants of core services so legal, privacy and AI governance requirements can be met without catastrophic disruption. This localisation is costly and technically demanding, but industry analysis suggests a substantial portion of workloads will migrate from global hyperscalers to local providers as sovereignty demands increase, making the investment a strategic hedge against regulatory lockouts.</w:t>
      </w:r>
      <w:r/>
    </w:p>
    <w:p>
      <w:r/>
      <w:r>
        <w:t>Supply-chain resilience is following a similar logic. The era of tightly optimised "just-in-time" logistics has given way to redundancy and distributed sourcing. Companies are integrating digital twins of their logistics networks to run rapid contingency modelling; when a port closure or sanction materialises, AI-driven simulations identify alternatives, estimate financial impact and trigger operational switchover in hours rather than weeks. That simulation-first posture turns disruption into a manageable variable rather than an existential threat.</w:t>
      </w:r>
      <w:r/>
    </w:p>
    <w:p>
      <w:r/>
      <w:r>
        <w:t>The changing operational environment is mirrored by evolving expectations of leadership. Long-range strategic plans are being replaced by iterative, short-cycle decision processes that continuously reassess geopolitical signals. Internal audit and risk teams are raising geopolitical and digital-disruption risks; a report from The Institute of Internal Auditors found marked increases in how practitioners rate those exposures, with cybersecurity remaining a top concern. Boards are therefore demanding greater optionality from executives, capacity to exit markets, pause products or reroute investments with minimal organisational friction, requiring cultures that reward candid risk reporting and rapid course correction.</w:t>
      </w:r>
      <w:r/>
    </w:p>
    <w:p>
      <w:r/>
      <w:r>
        <w:t>Artificial intelligence is being repurposed as a front-line risk-management tool. Predictive risk platforms now ingest vast, diverse signal sets, from satellite AIS feeds to foreign-language social media sentiment, and produce operational risk scorecards for business units. Those systems can automatically cascade alerts to legal, compliance and marketing teams so campaigns and market activity can be dialled down in unstable jurisdictions and redeployed elsewhere. The effect is to fuse near-real-time intelligence with tactical execution, compressing decision cycles across the enterprise.</w:t>
      </w:r>
      <w:r/>
    </w:p>
    <w:p>
      <w:r/>
      <w:r>
        <w:t>Macro indicators present a mixed picture that reinforces the need for resilience. The World Bank’s Global Economic Prospects in January 2026 noted an unexpectedly robust performance in some major economies and only modest softening of global growth over the near term, yet it also highlighted persistent divergence among developing economies. At the same time, measures of global uncertainty have spiked: the World Uncertainty Index reached unprecedented levels in February 2026, eclipsing the peaks seen during previous systemic crises. Such divergence, simultaneous economic durability in some regions and extreme policy risk in others, means firms must design strategies that can exploit growth where it exists while insulating core operations from political shocks.</w:t>
      </w:r>
      <w:r/>
    </w:p>
    <w:p>
      <w:r/>
      <w:r>
        <w:t>Collectively, these trends imply that resilience is no longer merely a facet of risk management but a central competitive attribute. Companies that treat sovereignty requirements as an operational constraint to be absorbed through multi-local platforms, that decentralise manufacturing with digital-first contingency planning, and that embed AI-powered risk awareness into routine decision-making will be best placed to maintain continuity and capture opportunity amid ongoing fragmentation. Those that cling to globally standardised efficiency models risk being sidelined by regulatory breakpoints and sudden geopolitical shifts.</w:t>
      </w:r>
      <w:r/>
    </w:p>
    <w:p>
      <w:r/>
      <w:r>
        <w:t>The business imperative for 2026 is clear: build systems and leadership capable of rapid pivoting, accept the costs of redundancy as insurance against disruption, and treat sovereign technology and AI-driven intelligence as foundational elements of corporate strategy rather than optional enhancements. In a world where policy tides can change overnight, strategic resilience has become the defining edge.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https://techbullion.com/the-resilient-enterprise-navigating-the-geopolitics-of-technology-in-2026/</w:t>
        </w:r>
      </w:hyperlink>
      <w:r>
        <w:t xml:space="preserve"> - Please view link - unable to able to access data</w:t>
      </w:r>
      <w:r/>
    </w:p>
    <w:p>
      <w:pPr>
        <w:pStyle w:val="ListNumber"/>
        <w:spacing w:line="240" w:lineRule="auto"/>
        <w:ind w:left="720"/>
      </w:pPr>
      <w:r/>
      <w:hyperlink r:id="rId11">
        <w:r>
          <w:rPr>
            <w:color w:val="0000EE"/>
            <w:u w:val="single"/>
          </w:rPr>
          <w:t>https://www.crowdstrike.com/en-us/press-releases/crowdstrike-announces-new-regional-clouds-to-expand-secure-data-sovereignty/</w:t>
        </w:r>
      </w:hyperlink>
      <w:r>
        <w:t xml:space="preserve"> - CrowdStrike has announced new in-country cloud deployments in Saudi Arabia, India, and the United Arab Emirates to enhance data sovereignty. These regional clouds aim to provide local data residency while maintaining a unified global security model. The initiative addresses the growing need for data sovereignty, allowing organizations to comply with local regulations without compromising on security or global intelligence. This expansion reflects a broader trend of companies investing in sovereign cloud solutions to meet regional data residency requirements and strengthen their security posture.</w:t>
      </w:r>
      <w:r/>
    </w:p>
    <w:p>
      <w:pPr>
        <w:pStyle w:val="ListNumber"/>
        <w:spacing w:line="240" w:lineRule="auto"/>
        <w:ind w:left="720"/>
      </w:pPr>
      <w:r/>
      <w:hyperlink r:id="rId12">
        <w:r>
          <w:rPr>
            <w:color w:val="0000EE"/>
            <w:u w:val="single"/>
          </w:rPr>
          <w:t>https://www.gartner.com/en/newsroom/press-releases/2026-02-09-gartner-says-worldwide-sovereign-cloud-iaas-spending-will-total-us-dollars-80-billion-in-2026</w:t>
        </w:r>
      </w:hyperlink>
      <w:r>
        <w:t xml:space="preserve"> - Gartner forecasts that worldwide sovereign cloud Infrastructure as a Service (IaaS) spending will reach $80 billion in 2026, marking a 35.6% increase from 2025. This surge is driven by organizations seeking digital and technological independence amid rising geopolitical tensions. Governments, regulated industries, and critical infrastructure sectors are the primary adopters of sovereign cloud solutions. The report highlights a significant shift towards local cloud providers, with an estimated 20% of current workloads moving from global to local providers due to increased demand for data sovereignty.</w:t>
      </w:r>
      <w:r/>
    </w:p>
    <w:p>
      <w:pPr>
        <w:pStyle w:val="ListNumber"/>
        <w:spacing w:line="240" w:lineRule="auto"/>
        <w:ind w:left="720"/>
      </w:pPr>
      <w:r/>
      <w:hyperlink r:id="rId13">
        <w:r>
          <w:rPr>
            <w:color w:val="0000EE"/>
            <w:u w:val="single"/>
          </w:rPr>
          <w:t>https://www.techradar.com/pro/microsoft-strengthens-its-in-country-data-processing-push-with-more-sovereignty-options</w:t>
        </w:r>
      </w:hyperlink>
      <w:r>
        <w:t xml:space="preserve"> - Microsoft is enhancing its commitment to data sovereignty by expanding in-country data processing for its Copilot AI service to 15 new markets by the end of 2026. This expansion includes countries such as Canada, Germany, Italy, Malaysia, Poland, South Africa, Spain, Sweden, Switzerland, the UAE, and the US. The initiative aims to comply with data residency requirements and build on Microsoft's existing EU Data Boundary strategy, ensuring end-to-end AI data handling within Europe. The move reflects a broader industry trend towards localized data processing to meet regional regulatory demands.</w:t>
      </w:r>
      <w:r/>
    </w:p>
    <w:p>
      <w:pPr>
        <w:pStyle w:val="ListNumber"/>
        <w:spacing w:line="240" w:lineRule="auto"/>
        <w:ind w:left="720"/>
      </w:pPr>
      <w:r/>
      <w:hyperlink r:id="rId14">
        <w:r>
          <w:rPr>
            <w:color w:val="0000EE"/>
            <w:u w:val="single"/>
          </w:rPr>
          <w:t>https://www.theiia.org/en/content/communications/press-releases/2025/september/new-report-reveals-geopolitical-uncertainty-and-digital-disruption-risks-on-the-rise-marking-largest-increase-in-risk-level-this-year/</w:t>
        </w:r>
      </w:hyperlink>
      <w:r>
        <w:t xml:space="preserve"> - A report by The Institute of Internal Auditors reveals that geopolitical uncertainty and digital disruption risks have seen the largest increase in risk levels this year. Based on feedback from over 4,000 internal audit practitioners across 131 countries, the study found that geopolitical uncertainty risk ratings rose by 10 percentage points, while digital disruption risk ratings increased by 9 percentage points compared to the previous year. Cybersecurity remains the top-rated risk globally, with approximately 73% of respondents placing it among their top five risks.</w:t>
      </w:r>
      <w:r/>
    </w:p>
    <w:p>
      <w:pPr>
        <w:pStyle w:val="ListNumber"/>
        <w:spacing w:line="240" w:lineRule="auto"/>
        <w:ind w:left="720"/>
      </w:pPr>
      <w:r/>
      <w:hyperlink r:id="rId15">
        <w:r>
          <w:rPr>
            <w:color w:val="0000EE"/>
            <w:u w:val="single"/>
          </w:rPr>
          <w:t>https://www.worldbank.org/en/news/press-release/2026/01/13/global-economic-prospects-january-2026-press-release</w:t>
        </w:r>
      </w:hyperlink>
      <w:r>
        <w:t xml:space="preserve"> - The World Bank's Global Economic Prospects report indicates that the global economy is proving more resilient than anticipated despite persistent trade tensions and policy uncertainty. Global growth is projected to remain broadly steady over the next two years, easing to 2.6% in 2026 before rising to 2.7% in 2027. The resilience reflects better-than-expected growth, especially in the United States, which accounts for about two-thirds of the upward revision to the forecast in 2026. However, the report also highlights that nearly one in four developing economies remains poorer than it was in 2019.</w:t>
      </w:r>
      <w:r/>
    </w:p>
    <w:p>
      <w:pPr>
        <w:pStyle w:val="ListNumber"/>
        <w:spacing w:line="240" w:lineRule="auto"/>
        <w:ind w:left="720"/>
      </w:pPr>
      <w:r/>
      <w:hyperlink r:id="rId16">
        <w:r>
          <w:rPr>
            <w:color w:val="0000EE"/>
            <w:u w:val="single"/>
          </w:rPr>
          <w:t>https://economictimes.indiatimes.com/news/international/us/why-is-global-uncertainty-at-an-all-time-high-in-2026-world-uncertainty-index-surges-to-106862-in-february-worse-than-covid-2008-crash-and-9/11-combined/articleshow/128482783.cms</w:t>
        </w:r>
      </w:hyperlink>
      <w:r>
        <w:t xml:space="preserve"> - The World Uncertainty Index surged to 106,862 in February 2026, marking an unprecedented level of global uncertainty. This figure surpasses previous crises, including the COVID-19 pandemic, the 2008 financial crash, and the 9/11 attacks combined. Economists express alarm over the heightened uncertainty, which is rattling markets and prompting concerns about its potential impact on global economic stability. The surge in the index reflects widespread apprehension about geopolitical tensions, policy shifts, and other factors contributing to global instability.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the-resilient-enterprise-navigating-the-geopolitics-of-technology-in-2026/" TargetMode="External"/><Relationship Id="rId11" Type="http://schemas.openxmlformats.org/officeDocument/2006/relationships/hyperlink" Target="https://www.crowdstrike.com/en-us/press-releases/crowdstrike-announces-new-regional-clouds-to-expand-secure-data-sovereignty/" TargetMode="External"/><Relationship Id="rId12" Type="http://schemas.openxmlformats.org/officeDocument/2006/relationships/hyperlink" Target="https://www.gartner.com/en/newsroom/press-releases/2026-02-09-gartner-says-worldwide-sovereign-cloud-iaas-spending-will-total-us-dollars-80-billion-in-2026" TargetMode="External"/><Relationship Id="rId13" Type="http://schemas.openxmlformats.org/officeDocument/2006/relationships/hyperlink" Target="https://www.techradar.com/pro/microsoft-strengthens-its-in-country-data-processing-push-with-more-sovereignty-options" TargetMode="External"/><Relationship Id="rId14" Type="http://schemas.openxmlformats.org/officeDocument/2006/relationships/hyperlink" Target="https://www.theiia.org/en/content/communications/press-releases/2025/september/new-report-reveals-geopolitical-uncertainty-and-digital-disruption-risks-on-the-rise-marking-largest-increase-in-risk-level-this-year/" TargetMode="External"/><Relationship Id="rId15" Type="http://schemas.openxmlformats.org/officeDocument/2006/relationships/hyperlink" Target="https://www.worldbank.org/en/news/press-release/2026/01/13/global-economic-prospects-january-2026-press-release" TargetMode="External"/><Relationship Id="rId16" Type="http://schemas.openxmlformats.org/officeDocument/2006/relationships/hyperlink" Target="https://economictimes.indiatimes.com/news/international/us/why-is-global-uncertainty-at-an-all-time-high-in-2026-world-uncertainty-index-surges-to-106862-in-february-worse-than-covid-2008-crash-and-9/11-combined/articleshow/128482783.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