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firms adapt to new wave of international supply chain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that source stock internationally are confronting a renewed period of disruption driven by higher transport costs, extended transit times and the ripple effects of geopolitical tension. Importing and exporting are no longer routine procurement tasks for many small firms; they have become strategic functions whose missteps can quickly erode margins and customer trust.</w:t>
      </w:r>
      <w:r/>
    </w:p>
    <w:p>
      <w:r/>
      <w:r>
        <w:t>Supply-chain practitioners advise treating current conditions as a prolonged stress-test rather than a short shock. According to a Thomson Reuters analysis of global trade, exporters now face a web of shifting regulations, sanctions risks, and technological complexities that require constant monitoring and adaptation. Those changes compound logistical bottlenecks and payment uncertainties, increasing the commercial risk of every cross-border shipment.</w:t>
      </w:r>
      <w:r/>
    </w:p>
    <w:p>
      <w:r/>
      <w:r>
        <w:t>Practical mitigation starts with contractual realism and transparent client communication. Industry guidance recommends budgeting for longer lead times and higher landed costs rather than relying on last-minute replenishment. Freight rates, fuel surcharges, port and airport handling fees, customs duties and import taxes all add to unit cost; biosecurity inspections and associated wait times must be factored in for food and consumables. Newer traders frequently underestimate customs and regulatory compliance burdens, a common cause of delays and penalties highlighted by import/export advisers.</w:t>
      </w:r>
      <w:r/>
    </w:p>
    <w:p>
      <w:r/>
      <w:r>
        <w:t>Working with experienced freight forwarders and logistics partners substantially reduces execution risk. Seasoned forwarders can translate geopolitical developments and routing options into pragmatic choices, whether to prioritise direct services to avoid transshipment delays or accept higher airfreight costs to protect shelf life and cashflow. Logistics specialists also help businesses calculate true landed cost and weigh commercial decisions when an order might be loss-making but strategically important.</w:t>
      </w:r>
      <w:r/>
    </w:p>
    <w:p>
      <w:r/>
      <w:r>
        <w:t>Routing choices matter more than price alone. Operators warn that cheaper, non-direct services can expose consignments to lengthy holds at transshipment hubs, where congestion and re-routing become acute under stress. For many firms the additional premium for direct carriage is an insurance policy that preserves customer commitments and product integrity.</w:t>
      </w:r>
      <w:r/>
    </w:p>
    <w:p>
      <w:r/>
      <w:r>
        <w:t>Beyond tactical shipping decisions, firms must strengthen compliance and payment processes. Practical checks include validating tariff classifications and customs valuation methods, building contingency for tariff changes during trade disputes, and ensuring export controls and sanctions screening are continuously updated. Trade advisers note that the proliferation of multifunctional and dual‑use goods increases complexity and the chance of inadvertent non‑compliance.</w:t>
      </w:r>
      <w:r/>
    </w:p>
    <w:p>
      <w:r/>
      <w:r>
        <w:t>Policymakers and macro analysts point to wider implications: trade patterns themselves can influence economic stability in fragile contexts, and abrupt shifts in market access or relative prices may have social as well as commercial consequences. Understanding the wider trade environment, how tariffs, trade wars and shifting demand reshape sourcing options, helps firms choose resilient supplier bases and diversify risk.</w:t>
      </w:r>
      <w:r/>
    </w:p>
    <w:p>
      <w:r/>
      <w:r>
        <w:t>For smaller firms pursuing international sales, the opportunity remains substantial but conditional on preparation. American Express research into small and mid‑sized businesses shows growing interest in cross‑border trade as operational barriers fall, but cautions that geopolitical and inflationary pressures require careful strategy. New importers should prioritise end‑to‑end planning: documented compliance, robust payment terms, realistic lead‑time buffers and relationships with trusted logistics partners.</w:t>
      </w:r>
      <w:r/>
    </w:p>
    <w:p>
      <w:r/>
      <w:r>
        <w:t>Those willing to invest in disciplined planning, transparent client conversations and expert partnerships will be better placed to convert international sourcing into a durable competitive edge. While volatility is likely to persist, businesses that respect the numbers, manage risk deliberately and treat supply chains as strategic assets can protect margin and customer loyalty even in challenging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https://insidesmallbusiness.com.au/latest-news/importing-and-exporting-during-global-conflict-why-discipline-not-price-determines-success</w:t>
        </w:r>
      </w:hyperlink>
      <w:r>
        <w:t xml:space="preserve"> - Please view link - unable to able to access data</w:t>
      </w:r>
      <w:r/>
    </w:p>
    <w:p>
      <w:pPr>
        <w:pStyle w:val="ListNumber"/>
        <w:spacing w:line="240" w:lineRule="auto"/>
        <w:ind w:left="720"/>
      </w:pPr>
      <w:r/>
      <w:hyperlink r:id="rId11">
        <w:r>
          <w:rPr>
            <w:color w:val="0000EE"/>
            <w:u w:val="single"/>
          </w:rPr>
          <w:t>https://www.thomsonreuters.com/en-us/posts/international-trade-and-supply-chain/global-trade-exporters-perspective/</w:t>
        </w:r>
      </w:hyperlink>
      <w:r>
        <w:t xml:space="preserve"> - This article discusses the significant risks exporters face in global trade due to evolving regulations, geopolitical dynamics, technological complexities, and the need for enhanced compliance tools. It highlights challenges such as market access barriers, payment uncertainties, logistical issues, and compliance with international trade regulations, including sanctions. The piece also addresses the impact of rapid technological advancements and the proliferation of multifunctional goods, which increase complexity and risk in global trade. It emphasizes the importance of continuous monitoring and adaptation to changes in sanctions, export regulations, and tariff structures.</w:t>
      </w:r>
      <w:r/>
    </w:p>
    <w:p>
      <w:pPr>
        <w:pStyle w:val="ListNumber"/>
        <w:spacing w:line="240" w:lineRule="auto"/>
        <w:ind w:left="720"/>
      </w:pPr>
      <w:r/>
      <w:hyperlink r:id="rId12">
        <w:r>
          <w:rPr>
            <w:color w:val="0000EE"/>
            <w:u w:val="single"/>
          </w:rPr>
          <w:t>https://www.naviexports.com/blog/common-challenges-faced-by-new-importers-and-exporters</w:t>
        </w:r>
      </w:hyperlink>
      <w:r>
        <w:t xml:space="preserve"> - This blog post outlines common challenges faced by new importers and exporters, including navigating customs and regulatory compliance, managing payments and logistics, and understanding tariffs and taxes. It emphasizes the importance of complying with customs regulations to avoid delays, fines, or confiscation of goods. The article also discusses the complexities of international trade, highlighting the need for careful planning and execution to overcome these challenges. It offers practical solutions to help businesses navigate the complexities of global trade and establish successful import/export operations.</w:t>
      </w:r>
      <w:r/>
    </w:p>
    <w:p>
      <w:pPr>
        <w:pStyle w:val="ListNumber"/>
        <w:spacing w:line="240" w:lineRule="auto"/>
        <w:ind w:left="720"/>
      </w:pPr>
      <w:r/>
      <w:hyperlink r:id="rId13">
        <w:r>
          <w:rPr>
            <w:color w:val="0000EE"/>
            <w:u w:val="single"/>
          </w:rPr>
          <w:t>https://www.worldbank.org/en/topic/trade/publication/trading-away-from-conflict</w:t>
        </w:r>
      </w:hyperlink>
      <w:r>
        <w:t xml:space="preserve"> - This publication examines how changes in imports and exports affect the risk and intensity of conflict, particularly in fragile and conflict-affected countries. It discusses how trade can encourage resource reallocation to more efficient activities, opening up opportunities and creating jobs. However, it also notes that changes in relative prices due to trade can destroy opportunities and jobs in declining sectors, potentially leading to violence as a source of income. The report suggests ways policymakers might use trade to reduce the risk of conflict, emphasizing the importance of trade in increasing resilience in fragile states.</w:t>
      </w:r>
      <w:r/>
    </w:p>
    <w:p>
      <w:pPr>
        <w:pStyle w:val="ListNumber"/>
        <w:spacing w:line="240" w:lineRule="auto"/>
        <w:ind w:left="720"/>
      </w:pPr>
      <w:r/>
      <w:hyperlink r:id="rId14">
        <w:r>
          <w:rPr>
            <w:color w:val="0000EE"/>
            <w:u w:val="single"/>
          </w:rPr>
          <w:t>https://valovietnam.com/en/blog/trade-war-and-sourcing</w:t>
        </w:r>
      </w:hyperlink>
      <w:r>
        <w:t xml:space="preserve"> - This article discusses the impact of trade wars on global trade, supply chains, and import costs. It explains how tariffs, the primary tool used during trade wars, directly increase the cost of importing goods and can significantly affect pricing and margins. The piece highlights the importance for importers to understand how tariffs are applied, who bears the cost, and the complexities of customs valuation rules. It also discusses the broader economic impacts of trade wars, including disruptions to supply chains, increased operational costs, and shifts in market demand.</w:t>
      </w:r>
      <w:r/>
    </w:p>
    <w:p>
      <w:pPr>
        <w:pStyle w:val="ListNumber"/>
        <w:spacing w:line="240" w:lineRule="auto"/>
        <w:ind w:left="720"/>
      </w:pPr>
      <w:r/>
      <w:hyperlink r:id="rId15">
        <w:r>
          <w:rPr>
            <w:color w:val="0000EE"/>
            <w:u w:val="single"/>
          </w:rPr>
          <w:t>https://www.americanexpress.com/en-us/business/trends-and-insights/articles/considering-global-trade-in-developed-or-developing-countries/</w:t>
        </w:r>
      </w:hyperlink>
      <w:r>
        <w:t xml:space="preserve"> - This article explores the opportunities and challenges of global trade for small and midsize businesses (SMBs) in the U.S. It discusses how operational roadblocks are falling, allowing more SMBs to engage in international trade. The piece highlights challenges such as tariff disputes, inflationary pressures, and geopolitical conflict, which can create uncertainty about international business prospects. It emphasizes the importance of understanding these challenges and developing strategies to navigate them effectively to succeed in global trade.</w:t>
      </w:r>
      <w:r/>
    </w:p>
    <w:p>
      <w:pPr>
        <w:pStyle w:val="ListNumber"/>
        <w:spacing w:line="240" w:lineRule="auto"/>
        <w:ind w:left="720"/>
      </w:pPr>
      <w:r/>
      <w:hyperlink r:id="rId16">
        <w:r>
          <w:rPr>
            <w:color w:val="0000EE"/>
            <w:u w:val="single"/>
          </w:rPr>
          <w:t>https://courses.lumenlearning.com/suny-fmcc-internationalbusiness/chapter/9-1-what-is-importing-and-exporting/</w:t>
        </w:r>
      </w:hyperlink>
      <w:r>
        <w:t xml:space="preserve"> - This reading provides an overview of importing and exporting, including definitions, historical context, and the reasons companies engage in these activities. It traces the history of importing and exporting back to the Roman Empire and the Silk Road, highlighting the long-standing nature of international trade. The piece also discusses the role of intermediaries in facilitating trade due to long distances and language differences. It serves as an introduction to the logistics and complexities of global business, setting the stage for further exploration of international trade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smallbusiness.com.au/latest-news/importing-and-exporting-during-global-conflict-why-discipline-not-price-determines-success" TargetMode="External"/><Relationship Id="rId11" Type="http://schemas.openxmlformats.org/officeDocument/2006/relationships/hyperlink" Target="https://www.thomsonreuters.com/en-us/posts/international-trade-and-supply-chain/global-trade-exporters-perspective/" TargetMode="External"/><Relationship Id="rId12" Type="http://schemas.openxmlformats.org/officeDocument/2006/relationships/hyperlink" Target="https://www.naviexports.com/blog/common-challenges-faced-by-new-importers-and-exporters" TargetMode="External"/><Relationship Id="rId13" Type="http://schemas.openxmlformats.org/officeDocument/2006/relationships/hyperlink" Target="https://www.worldbank.org/en/topic/trade/publication/trading-away-from-conflict" TargetMode="External"/><Relationship Id="rId14" Type="http://schemas.openxmlformats.org/officeDocument/2006/relationships/hyperlink" Target="https://valovietnam.com/en/blog/trade-war-and-sourcing" TargetMode="External"/><Relationship Id="rId15" Type="http://schemas.openxmlformats.org/officeDocument/2006/relationships/hyperlink" Target="https://www.americanexpress.com/en-us/business/trends-and-insights/articles/considering-global-trade-in-developed-or-developing-countries/" TargetMode="External"/><Relationship Id="rId16" Type="http://schemas.openxmlformats.org/officeDocument/2006/relationships/hyperlink" Target="https://courses.lumenlearning.com/suny-fmcc-internationalbusiness/chapter/9-1-what-is-importing-and-ex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