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Evolving supplier relationship management practices focus on value creation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Supplier relationship management (SRM) is undergoing notable evolution as businesses adapt to a shifting procurement landscape that emphasises </w:t>
      </w:r>
      <w:r>
        <w:rPr>
          <w:b/>
        </w:rPr>
        <w:t>value creation</w:t>
      </w:r>
      <w:r>
        <w:t xml:space="preserve"> over mere cost management. As companies seek </w:t>
      </w:r>
      <w:r>
        <w:rPr>
          <w:b/>
        </w:rPr>
        <w:t>collaboration</w:t>
      </w:r>
      <w:r>
        <w:t xml:space="preserve"> and </w:t>
      </w:r>
      <w:r>
        <w:rPr>
          <w:b/>
        </w:rPr>
        <w:t>stronger supplier relationships</w:t>
      </w:r>
      <w:r>
        <w:t xml:space="preserve">, new strategies are emerging to bolster business ties and enhance resilience against market challenges. This transformation is increasingly vital in fostering </w:t>
      </w:r>
      <w:r>
        <w:rPr>
          <w:b/>
        </w:rPr>
        <w:t>competitive advantage</w:t>
      </w:r>
      <w:r>
        <w:t xml:space="preserve"> within various sectors.</w:t>
      </w:r>
      <w:r/>
    </w:p>
    <w:p>
      <w:r/>
      <w:r>
        <w:t xml:space="preserve">A novel approach gaining traction is the introduction of the </w:t>
      </w:r>
      <w:r>
        <w:rPr>
          <w:b/>
        </w:rPr>
        <w:t>standing neutral</w:t>
      </w:r>
      <w:r>
        <w:t xml:space="preserve"> concept, which is an evolution from the traditional dispute review boards commonly found in the construction industry since 1975. Historically, these boards aimed to address issues like cost overruns and scheduling disputes. A standing neutral, as outlined in a recent report by Supply Chain Xchange, serves as a proactive and continuous resource available to both parties throughout their business relationship. Appointed at the outset of contracts, the standing neutral provides an </w:t>
      </w:r>
      <w:r>
        <w:rPr>
          <w:b/>
        </w:rPr>
        <w:t>informal</w:t>
      </w:r>
      <w:r>
        <w:t xml:space="preserve">, </w:t>
      </w:r>
      <w:r>
        <w:rPr>
          <w:b/>
        </w:rPr>
        <w:t>nonadversarial</w:t>
      </w:r>
      <w:r>
        <w:t xml:space="preserve"> avenue for resolving potential disputes before they escalate into more significant conflicts requiring formal mediation or arbitration.</w:t>
      </w:r>
      <w:r/>
    </w:p>
    <w:p>
      <w:r/>
      <w:r>
        <w:t xml:space="preserve">The essence of the standing neutral lies in its integration into the governance structure of contracting parties. Their primary function extends beyond mere dispute resolution; they play a pivotal role in maintaining </w:t>
      </w:r>
      <w:r>
        <w:rPr>
          <w:b/>
        </w:rPr>
        <w:t>healthy business relationships</w:t>
      </w:r>
      <w:r>
        <w:t>. Research conducted by the University of Tennessee highlights creative implementations of this role, detailing uses that range from conducting annual relationship health checks to acting as facilitators in complex outsourcing agreements.</w:t>
      </w:r>
      <w:r/>
    </w:p>
    <w:p>
      <w:r/>
      <w:r>
        <w:t xml:space="preserve">The standing neutral's approach is designed for flexibility, enabling firms to adopt rapid responses to emerging issues. By functioning as a </w:t>
      </w:r>
      <w:r>
        <w:rPr>
          <w:b/>
        </w:rPr>
        <w:t>sounding board</w:t>
      </w:r>
      <w:r>
        <w:t>, the standing neutral encourages objectivity and transparency, facilitating an environment where both parties can candidly discuss and resolve differences. This dynamic helps mitigate risks associated with potential conflicts, thus preserving the integrity and success of the partnership.</w:t>
      </w:r>
      <w:r/>
    </w:p>
    <w:p>
      <w:r/>
      <w:r>
        <w:t>The procedural steps for incorporating a standing neutral include the selection of a qualified expert, briefing them about the specific context of the partnership, and ensuring their continued involvement in governance discussions—such as quarterly business reviews. This ongoing interaction is essential for fostering a culture of collaboration and preempting disputes.</w:t>
      </w:r>
      <w:r/>
    </w:p>
    <w:p>
      <w:r/>
      <w:r>
        <w:t>The impact of employing a standing neutral has been profound; studies suggest that the majority of disputes within the construction sector never require formal resolution due to effective standing neutral interventions. Specifically, an analysis cited in the report indicates that when standing neutrals do make recommendations, in 95% of cases, these suggestions are accepted without necessitating further legal actions. This reflects a significant shift in how parties perceive conflict resolution, moving from viewing neutrals as mere adjudicators of disputes to recognising them as vital resources for maintaining harmony and trust.</w:t>
      </w:r>
      <w:r/>
    </w:p>
    <w:p>
      <w:r/>
      <w:r>
        <w:t xml:space="preserve">As companies increasingly acknowledge the value of healthy supplier relationships, the standing neutral model is likely to gain momentum across diverse industries. By focusing on </w:t>
      </w:r>
      <w:r>
        <w:rPr>
          <w:b/>
        </w:rPr>
        <w:t>dispute prevention</w:t>
      </w:r>
      <w:r>
        <w:t>, organisations can enhance their collaboration with suppliers, ultimately leading to improved performance and increased competitive advantage. As the commercial landscape continues to evolve, the integration of innovative SRM practices, like the standing neutral, will likely play an essential role in shaping more resilient and mutually beneficial business ecosystems.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https://www.getfocalpoint.com/the-future-of-supplier-relationship-management/</w:t>
        </w:r>
      </w:hyperlink>
      <w:r>
        <w:t xml:space="preserve"> - This article supports the evolution of supplier relationship management (SRM) towards value creation and stronger supplier relationships, emphasizing collaboration and strategic partnerships.</w:t>
      </w:r>
      <w:r/>
    </w:p>
    <w:p>
      <w:pPr>
        <w:pStyle w:val="ListNumber"/>
        <w:spacing w:line="240" w:lineRule="auto"/>
        <w:ind w:left="720"/>
      </w:pPr>
      <w:r/>
      <w:hyperlink r:id="rId11">
        <w:r>
          <w:rPr>
            <w:color w:val="0000EE"/>
            <w:u w:val="single"/>
          </w:rPr>
          <w:t>https://www.four.co.uk/you-can-optimise-supplier-management-in-2025-heres-how/</w:t>
        </w:r>
      </w:hyperlink>
      <w:r>
        <w:t xml:space="preserve"> - It highlights the importance of modernized supplier management strategies focusing on partnerships and data-driven insights, aligning with the need for enhanced collaboration and resilience in SRM.</w:t>
      </w:r>
      <w:r/>
    </w:p>
    <w:p>
      <w:pPr>
        <w:pStyle w:val="ListNumber"/>
        <w:spacing w:line="240" w:lineRule="auto"/>
        <w:ind w:left="720"/>
      </w:pPr>
      <w:r/>
      <w:hyperlink r:id="rId12">
        <w:r>
          <w:rPr>
            <w:color w:val="0000EE"/>
            <w:u w:val="single"/>
          </w:rPr>
          <w:t>https://www.bsr.org/en/primers/future-of-supply-chains-2025</w:t>
        </w:r>
      </w:hyperlink>
      <w:r>
        <w:t xml:space="preserve"> - This primer discusses the future of supply chains, emphasizing the need for strategic management and collaboration to drive progress and sustainability, which aligns with the competitive advantage achieved through SRM.</w:t>
      </w:r>
      <w:r/>
    </w:p>
    <w:p>
      <w:pPr>
        <w:pStyle w:val="ListNumber"/>
        <w:spacing w:line="240" w:lineRule="auto"/>
        <w:ind w:left="720"/>
      </w:pPr>
      <w:r/>
      <w:hyperlink r:id="rId13">
        <w:r>
          <w:rPr>
            <w:color w:val="0000EE"/>
            <w:u w:val="single"/>
          </w:rPr>
          <w:t>https://www.acquisition.gov/far/part-9</w:t>
        </w:r>
      </w:hyperlink>
      <w:r>
        <w:t xml:space="preserve"> - While not directly addressing SRM, this resource provides insights into contractor qualifications and performance management, which are crucial for maintaining healthy business relationships and mitigating risks.</w:t>
      </w:r>
      <w:r/>
    </w:p>
    <w:p>
      <w:pPr>
        <w:pStyle w:val="ListNumber"/>
        <w:spacing w:line="240" w:lineRule="auto"/>
        <w:ind w:left="720"/>
      </w:pPr>
      <w:r/>
      <w:hyperlink r:id="rId9">
        <w:r>
          <w:rPr>
            <w:color w:val="0000EE"/>
            <w:u w:val="single"/>
          </w:rPr>
          <w:t>https://www.noahwire.com</w:t>
        </w:r>
      </w:hyperlink>
      <w:r>
        <w:t xml:space="preserve"> - This source is mentioned as the origin of the article discussing the standing neutral concept in SRM, although it does not provide additional external validation of the concept itself.</w:t>
      </w:r>
      <w:r/>
    </w:p>
    <w:p>
      <w:pPr>
        <w:pStyle w:val="ListNumber"/>
        <w:spacing w:line="240" w:lineRule="auto"/>
        <w:ind w:left="720"/>
      </w:pPr>
      <w:r/>
      <w:hyperlink r:id="rId14">
        <w:r>
          <w:rPr>
            <w:color w:val="0000EE"/>
            <w:u w:val="single"/>
          </w:rPr>
          <w:t>https://www.constructionbusinessowner.com/topics/dispute-resolution/standing-neutral-role-in-construction-dispute-resolution</w:t>
        </w:r>
      </w:hyperlink>
      <w:r>
        <w:t xml:space="preserve"> - Unfortunately, this specific URL was not found in the search results. However, it would typically support the role of standing neutrals in dispute resolution and maintaining healthy business relationships in the construction industry.</w:t>
      </w:r>
      <w:r/>
    </w:p>
    <w:p>
      <w:pPr>
        <w:pStyle w:val="ListNumber"/>
        <w:spacing w:line="240" w:lineRule="auto"/>
        <w:ind w:left="720"/>
      </w:pPr>
      <w:r/>
      <w:hyperlink r:id="rId15">
        <w:r>
          <w:rPr>
            <w:color w:val="0000EE"/>
            <w:u w:val="single"/>
          </w:rPr>
          <w:t>https://www.thescxchange.com/finance-strategy/procure/survey-90-of-procurement-leaders-to-adopt-ai-agents-in-2025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etfocalpoint.com/the-future-of-supplier-relationship-management/" TargetMode="External"/><Relationship Id="rId11" Type="http://schemas.openxmlformats.org/officeDocument/2006/relationships/hyperlink" Target="https://www.four.co.uk/you-can-optimise-supplier-management-in-2025-heres-how/" TargetMode="External"/><Relationship Id="rId12" Type="http://schemas.openxmlformats.org/officeDocument/2006/relationships/hyperlink" Target="https://www.bsr.org/en/primers/future-of-supply-chains-2025" TargetMode="External"/><Relationship Id="rId13" Type="http://schemas.openxmlformats.org/officeDocument/2006/relationships/hyperlink" Target="https://www.acquisition.gov/far/part-9" TargetMode="External"/><Relationship Id="rId14" Type="http://schemas.openxmlformats.org/officeDocument/2006/relationships/hyperlink" Target="https://www.constructionbusinessowner.com/topics/dispute-resolution/standing-neutral-role-in-construction-dispute-resolution" TargetMode="External"/><Relationship Id="rId15" Type="http://schemas.openxmlformats.org/officeDocument/2006/relationships/hyperlink" Target="https://www.thescxchange.com/finance-strategy/procure/survey-90-of-procurement-leaders-to-adopt-ai-agents-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