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supply chain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industries prepare for the challenges that 2025 may bring, significant transformations are anticipated within the supply chain and procurement environments. The European Union is leading the charge with its Industry 5.0 directives, which place an emphasis on sustainability and governance in the realm of artificial intelligence (AI). This transition arises amid a backdrop of complex supply chains influenced by potential new tariffs and geopolitical tensions that threaten trade routes. Manufacturers are thus urged to adopt agile practices in response to rising labour costs and prevailing market instabilities.</w:t>
      </w:r>
      <w:r/>
    </w:p>
    <w:p>
      <w:r/>
      <w:r>
        <w:t>Industry 5.0, regarded as the Fifth Industrial Revolution, is evolving from the foundation established by Industry 4.0, which primarily focused on automation and digitalisation. This new paradigm integrates cutting-edge technologies such as AI, machine learning, the Internet of Things (IoT), and digital twins, while also prioritising environmental sustainability. By striving for renewable energy-powered production systems, Industry 5.0 seeks to reduce carbon emissions and enhance human-machine integration. These factors are essential as businesses increasingly pursue Environmental, Social, and Governance (ESG) standards, which have gained prominence in global markets.</w:t>
      </w:r>
      <w:r/>
    </w:p>
    <w:p>
      <w:r/>
      <w:r>
        <w:t>Advancements in AI technology emerge as a cornerstone of the Industry 5.0 framework, promoting greater efficiency in manufacturing processes. Integrating IoT with machine learning enables industrial AI to diminish waste and reduce downtimes, thereby refining supply chains and enhancing predictive maintenance approaches. The comprehensive use of AI across organisations is vital; isolated applications may lead to disillusionment with potential outcomes. Major consultancy firm Gartner forecasts that by 2028, enterprises employing AI governance frameworks will enjoy a notable 30% increase in customer trust ratings, alongside a 25% improvement in regulatory compliance relative to their peers.</w:t>
      </w:r>
      <w:r/>
    </w:p>
    <w:p>
      <w:r/>
      <w:r>
        <w:t xml:space="preserve">Additionally, the rise of Ambient Invisible Intelligence (AII) presents an innovative method for low-cost tracking and sensing within smart factories and warehouses. Leveraging Bluetooth and cellular networks, AII is set to revolutionise industrial asset tracking. Another forthcoming trend is the utilisation of polyfunctional robots designed for enhanced interaction between humans and machines—these robots, adaptable and capable of performing multiple tasks, are likely to change the dynamics of industries such as warehousing and manufacturing. Gartner predicts that by 2030, engagement with smart robots could soar to 80% of the workforce, up from less than 10% today. </w:t>
      </w:r>
      <w:r/>
    </w:p>
    <w:p>
      <w:r/>
      <w:r>
        <w:t>As industries navigate this landscape, a renewed focus on hardware security becomes essential amid the evolving AI threat landscape. Recent developments have highlighted how generative AI is facilitating cyberattacks, with malware evolving to evade traditional detection measures. As such, businesses are encouraged to employ AI/machine learning tools to enhance cybersecurity measures continuously.</w:t>
      </w:r>
      <w:r/>
    </w:p>
    <w:p>
      <w:r/>
      <w:r>
        <w:t>Moreover, the growing urgency surrounding sustainability is underscored by new regulations such as the Corporate Sustainability Reporting Directive (CSRD), which expands sustainability reporting obligations to small and medium-sized enterprises. This regulatory shift urges manufacturers to integrate comprehensive eco-friendly initiatives into their operations. Innovations in energy-efficient computing play a vital role in this endeavour, contributing to reduced energy consumption and carbon footprint across digital systems.</w:t>
      </w:r>
      <w:r/>
    </w:p>
    <w:p>
      <w:r/>
      <w:r>
        <w:t>In conclusion, as multiple external pressures redefine the industrial landscape, manufacturers are positioned to leverage the innovations offered by Industry 5.0. Sravani Bhattacharjee, an experienced tech leader with a proven track record at notable firms like Cisco and Honeywell, remarked on this topic, emphasizing that collaborating with Industrial IoT innovators can foster compelling strategies that enhance business decisions and pave the way for forthcoming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https://www.clustercollaboration.eu/content/eu-clusters-talks-industry-50-people-heart-business</w:t>
        </w:r>
      </w:hyperlink>
      <w:r>
        <w:t xml:space="preserve"> - This URL supports the claim that Industry 5.0 emphasizes sustainability and governance, particularly focusing on human-centric approaches and the integration of AI in European industries.</w:t>
      </w:r>
      <w:r/>
    </w:p>
    <w:p>
      <w:pPr>
        <w:pStyle w:val="ListNumber"/>
        <w:spacing w:line="240" w:lineRule="auto"/>
        <w:ind w:left="720"/>
      </w:pPr>
      <w:r/>
      <w:hyperlink r:id="rId11">
        <w:r>
          <w:rPr>
            <w:color w:val="0000EE"/>
            <w:u w:val="single"/>
          </w:rPr>
          <w:t>https://research-and-innovation.ec.europa.eu/news/all-research-and-innovation-news/industry-50-community-practice-discuss-future-directions-achieve-its-goals-2024-10-16_en</w:t>
        </w:r>
      </w:hyperlink>
      <w:r>
        <w:t xml:space="preserve"> - This URL corroborates the vision of Industry 5.0 as a shift towards sustainability, human-centricity, and resilience in European industries, aligning with broader societal and environmental goals.</w:t>
      </w:r>
      <w:r/>
    </w:p>
    <w:p>
      <w:pPr>
        <w:pStyle w:val="ListNumber"/>
        <w:spacing w:line="240" w:lineRule="auto"/>
        <w:ind w:left="720"/>
      </w:pPr>
      <w:r/>
      <w:hyperlink r:id="rId12">
        <w:r>
          <w:rPr>
            <w:color w:val="0000EE"/>
            <w:u w:val="single"/>
          </w:rPr>
          <w:t>https://www.acquisition.gov/far/part-9</w:t>
        </w:r>
      </w:hyperlink>
      <w:r>
        <w:t xml:space="preserve"> - Although not directly related to Industry 5.0, this URL provides context on contractor qualifications and standards, which can be relevant to procurement environments influenced by Industry 5.0 directives.</w:t>
      </w:r>
      <w:r/>
    </w:p>
    <w:p>
      <w:pPr>
        <w:pStyle w:val="ListNumber"/>
        <w:spacing w:line="240" w:lineRule="auto"/>
        <w:ind w:left="720"/>
      </w:pPr>
      <w:r/>
      <w:hyperlink r:id="rId13">
        <w:r>
          <w:rPr>
            <w:color w:val="0000EE"/>
            <w:u w:val="single"/>
          </w:rPr>
          <w:t>https://www.simanalytics.com/insights/industry-5.0-current-and-future</w:t>
        </w:r>
      </w:hyperlink>
      <w:r>
        <w:t xml:space="preserve"> - This URL explains the core principles of Industry 5.0, including human-centricity, sustainability, and resilience, and discusses its future implications on industries and society.</w:t>
      </w:r>
      <w:r/>
    </w:p>
    <w:p>
      <w:pPr>
        <w:pStyle w:val="ListNumber"/>
        <w:spacing w:line="240" w:lineRule="auto"/>
        <w:ind w:left="720"/>
      </w:pPr>
      <w:r/>
      <w:hyperlink r:id="rId14">
        <w:r>
          <w:rPr>
            <w:color w:val="0000EE"/>
            <w:u w:val="single"/>
          </w:rPr>
          <w:t>https://www.gartner.com/en</w:t>
        </w:r>
      </w:hyperlink>
      <w:r>
        <w:t xml:space="preserve"> - Gartner's website supports the claim about AI governance frameworks improving customer trust and regulatory compliance, as well as predictions regarding the adoption of smart robots in industries.</w:t>
      </w:r>
      <w:r/>
    </w:p>
    <w:p>
      <w:pPr>
        <w:pStyle w:val="ListNumber"/>
        <w:spacing w:line="240" w:lineRule="auto"/>
        <w:ind w:left="720"/>
      </w:pPr>
      <w:r/>
      <w:hyperlink r:id="rId15">
        <w:r>
          <w:rPr>
            <w:color w:val="0000EE"/>
            <w:u w:val="single"/>
          </w:rPr>
          <w:t>https://ec.europa.eu/info/publications/corporate-sustainability-reporting-csrd_en</w:t>
        </w:r>
      </w:hyperlink>
      <w:r>
        <w:t xml:space="preserve"> - This URL provides information on the Corporate Sustainability Reporting Directive (CSRD), which aligns with Industry 5.0's focus on sustainability and environmental responsibility.</w:t>
      </w:r>
      <w:r/>
    </w:p>
    <w:p>
      <w:pPr>
        <w:pStyle w:val="ListNumber"/>
        <w:spacing w:line="240" w:lineRule="auto"/>
        <w:ind w:left="720"/>
      </w:pPr>
      <w:r/>
      <w:hyperlink r:id="rId16">
        <w:r>
          <w:rPr>
            <w:color w:val="0000EE"/>
            <w:u w:val="single"/>
          </w:rPr>
          <w:t>https://news.google.com/rss/articles/CBMikwFBVV95cUxQYndJdTREV0l3dG80UnRtOXlCUktHTzhKdk1ZTUJVYlF0cVBTenFZbExrRVZrcmJINUw4SW9hX2tfaFJyNW12Y2U1UUlNcE15R25adXN0X3pHRHRuR3lVTmJHWmxmaW1sYnhpaGVteWtxZXhRQ045Y01iS25yY2VyR19rYjU1bHF3Y0VjcjhEMko1Nl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ustercollaboration.eu/content/eu-clusters-talks-industry-50-people-heart-business" TargetMode="External"/><Relationship Id="rId11" Type="http://schemas.openxmlformats.org/officeDocument/2006/relationships/hyperlink" Target="https://research-and-innovation.ec.europa.eu/news/all-research-and-innovation-news/industry-50-community-practice-discuss-future-directions-achieve-its-goals-2024-10-16_en" TargetMode="External"/><Relationship Id="rId12" Type="http://schemas.openxmlformats.org/officeDocument/2006/relationships/hyperlink" Target="https://www.acquisition.gov/far/part-9" TargetMode="External"/><Relationship Id="rId13" Type="http://schemas.openxmlformats.org/officeDocument/2006/relationships/hyperlink" Target="https://www.simanalytics.com/insights/industry-5.0-current-and-future" TargetMode="External"/><Relationship Id="rId14" Type="http://schemas.openxmlformats.org/officeDocument/2006/relationships/hyperlink" Target="https://www.gartner.com/en" TargetMode="External"/><Relationship Id="rId15" Type="http://schemas.openxmlformats.org/officeDocument/2006/relationships/hyperlink" Target="https://ec.europa.eu/info/publications/corporate-sustainability-reporting-csrd_en" TargetMode="External"/><Relationship Id="rId16" Type="http://schemas.openxmlformats.org/officeDocument/2006/relationships/hyperlink" Target="https://news.google.com/rss/articles/CBMikwFBVV95cUxQYndJdTREV0l3dG80UnRtOXlCUktHTzhKdk1ZTUJVYlF0cVBTenFZbExrRVZrcmJINUw4SW9hX2tfaFJyNW12Y2U1UUlNcE15R25adXN0X3pHRHRuR3lVTmJHWmxmaW1sYnhpaGVteWtxZXhRQ045Y01iS25yY2VyR19rYjU1bHF3Y0VjcjhEMko1Nl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