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Anticipating digital transformation and regulatory changes in the finance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TRADE has reported on the anticipated digital transformation and regulatory landscape facing the buy-side and sell-side sectors by 2025. Experts emphasise that a wide range of digital advancements, especially in artificial intelligence and digital asset creation, will significantly impact these sectors. The ability to adapt to these changes is seen as crucial, with organisations urged to harness technology and talent in concert. A balanced focus on both people and technology is expected to transform workflows, enhance productivity, and stimulate overall growth.</w:t>
      </w:r>
      <w:r/>
    </w:p>
    <w:p>
      <w:r/>
      <w:r>
        <w:t>As digital transformation continues to shape the market, there is a renewed emphasis on resiliency. This shift is largely driven by business imperatives but is also influenced by increased regulatory measures such as the Digital Operational Resilience Act (DORA). These regulations stress the importance of operational resiliency, prompting businesses to seek solutions that strengthen their internal operations and ensure the stability of third-party service providers. The scrutiny of outsourcing partners has intensified, partly in response to regulations that prioritise robust operational resilience and governance.</w:t>
      </w:r>
      <w:r/>
    </w:p>
    <w:p>
      <w:r/>
      <w:r>
        <w:t>The report indicates that the primary challenge facing the buy- and sell-side sectors in the current year will be balancing opportunities with regulatory compliance in a cost-effective manner. As regulations evolve, businesses must adapt to stay competitive. This scenario requires a careful navigation of opportunities within sectors like private credit and alternatives while simultaneously managing the pressures of increasingly stringent regulations. The report suggests that the intricacies of operations might lead to heightened reliance on third-party services, which raises significant considerations regarding their reliability and resilience. Addressing these concerns is deemed essential for maintaining operational integrity while also capitalising on potential opportunities.</w:t>
      </w:r>
      <w:r/>
    </w:p>
    <w:p>
      <w:r/>
      <w:r>
        <w:t>To effectively manage these evolving regulations, companies are encouraged to continuously evaluate their technology and operational infrastructures. Regulatory frameworks, including DORA, focus on operational resilience and the oversight of third-party partners, necessitating that organisations strengthen their systems accordingly. In regions like Asia and EMEA, customers are adapting to rigorous requirements and renewed regulatory reviews, such as those corresponding to the European Market Infrastructure Regulation (EMIR) in Europe. Consequently, there is a marked trend toward increased scrutiny of partnerships, reflecting an emphasis on quality and stability amid a complex regulatory environment.</w:t>
      </w:r>
      <w:r/>
    </w:p>
    <w:p>
      <w:r/>
      <w:r>
        <w:t>Looking ahead, experts are monitoring the disparities between UK and EU regulations and expect these differences to transform over the coming years. In light of recent geopolitical shifts, there exists a degree of uncertainty regarding regulatory changes. Nevertheless, the UK is anticipated to make strategic decisions aimed at preserving and enhancing its global relevance in the post-Brexit era. This may involve aligning more closely with Europe in certain areas, although a significant priority will be to maintain the UK’s appeal as a hub for securities issuance and secondary market activities. A notable development expected in this context is the transition to a T+1 settlement cycle, which the UK is likely to implement swiftly. This transition, already successfully executed in the US, is seen as a positive step for the market. The focus on assisting clients in navigating these changes, along with a broader move towards shortened settlement cycles globally, is projected to remain a key agenda for both the UK and Europe as the industry looks ahead to 2027.</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https://zinnov.com/mergers-and-acquisitions/6-key-trends-shaping-technology-services-mergers-and-acquisitions-in-2025-blog/</w:t>
        </w:r>
      </w:hyperlink>
      <w:r>
        <w:t xml:space="preserve"> - This URL supports the claim about the impact of digital transformation and AI on the technology services sector, highlighting the need for companies to adapt to these changes. It also discusses the role of regulatory measures in shaping business strategies.</w:t>
      </w:r>
      <w:r/>
    </w:p>
    <w:p>
      <w:pPr>
        <w:pStyle w:val="ListNumber"/>
        <w:spacing w:line="240" w:lineRule="auto"/>
        <w:ind w:left="720"/>
      </w:pPr>
      <w:r/>
      <w:hyperlink r:id="rId11">
        <w:r>
          <w:rPr>
            <w:color w:val="0000EE"/>
            <w:u w:val="single"/>
          </w:rPr>
          <w:t>https://eur-lex.europa.eu/legal-content/EN/TXT/?uri=CELEX:32022R0286</w:t>
        </w:r>
      </w:hyperlink>
      <w:r>
        <w:t xml:space="preserve"> - This URL provides information about the Digital Operational Resilience Act (DORA), which is mentioned as a key regulatory measure influencing operational resilience in the financial sector.</w:t>
      </w:r>
      <w:r/>
    </w:p>
    <w:p>
      <w:pPr>
        <w:pStyle w:val="ListNumber"/>
        <w:spacing w:line="240" w:lineRule="auto"/>
        <w:ind w:left="720"/>
      </w:pPr>
      <w:r/>
      <w:hyperlink r:id="rId12">
        <w:r>
          <w:rPr>
            <w:color w:val="0000EE"/>
            <w:u w:val="single"/>
          </w:rPr>
          <w:t>https://www.esma.europa.eu/policy-activities/emir</w:t>
        </w:r>
      </w:hyperlink>
      <w:r>
        <w:t xml:space="preserve"> - This URL explains the European Market Infrastructure Regulation (EMIR), which is referenced as part of the regulatory landscape affecting businesses in Europe.</w:t>
      </w:r>
      <w:r/>
    </w:p>
    <w:p>
      <w:pPr>
        <w:pStyle w:val="ListNumber"/>
        <w:spacing w:line="240" w:lineRule="auto"/>
        <w:ind w:left="720"/>
      </w:pPr>
      <w:r/>
      <w:hyperlink r:id="rId13">
        <w:r>
          <w:rPr>
            <w:color w:val="0000EE"/>
            <w:u w:val="single"/>
          </w:rPr>
          <w:t>https://www.fca.org.uk/markets/post-trade/settlement-cycles</w:t>
        </w:r>
      </w:hyperlink>
      <w:r>
        <w:t xml:space="preserve"> - This URL discusses the transition to a T+1 settlement cycle, a development expected to enhance market efficiency in the UK and align with global trends.</w:t>
      </w:r>
      <w:r/>
    </w:p>
    <w:p>
      <w:pPr>
        <w:pStyle w:val="ListNumber"/>
        <w:spacing w:line="240" w:lineRule="auto"/>
        <w:ind w:left="720"/>
      </w:pPr>
      <w:r/>
      <w:hyperlink r:id="rId14">
        <w:r>
          <w:rPr>
            <w:color w:val="0000EE"/>
            <w:u w:val="single"/>
          </w:rPr>
          <w:t>https://www.bis.org/publ/bcbs265.pdf</w:t>
        </w:r>
      </w:hyperlink>
      <w:r>
        <w:t xml:space="preserve"> - This URL provides insights into operational resilience and risk management in financial institutions, which is relevant to the discussion on regulatory compliance and operational integrity.</w:t>
      </w:r>
      <w:r/>
    </w:p>
    <w:p>
      <w:pPr>
        <w:pStyle w:val="ListNumber"/>
        <w:spacing w:line="240" w:lineRule="auto"/>
        <w:ind w:left="720"/>
      </w:pPr>
      <w:r/>
      <w:hyperlink r:id="rId15">
        <w:r>
          <w:rPr>
            <w:color w:val="0000EE"/>
            <w:u w:val="single"/>
          </w:rPr>
          <w:t>https://www2.deloitte.com/content/dam/Deloitte/uk/Documents/financial-services/deloitte-uk-fs-regulatory-outlook-2025.pdf</w:t>
        </w:r>
      </w:hyperlink>
      <w:r>
        <w:t xml:space="preserve"> - This URL offers a comprehensive view of the regulatory landscape in 2025, including the impact of digital transformation and evolving regulations on financial services.</w:t>
      </w:r>
      <w:r/>
    </w:p>
    <w:p>
      <w:pPr>
        <w:pStyle w:val="ListNumber"/>
        <w:spacing w:line="240" w:lineRule="auto"/>
        <w:ind w:left="720"/>
      </w:pPr>
      <w:r/>
      <w:hyperlink r:id="rId16">
        <w:r>
          <w:rPr>
            <w:color w:val="0000EE"/>
            <w:u w:val="single"/>
          </w:rPr>
          <w:t>https://www.thetradenews.com/fireside-friday-with-broadridge-internationals-mike-sleightholme/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innov.com/mergers-and-acquisitions/6-key-trends-shaping-technology-services-mergers-and-acquisitions-in-2025-blog/" TargetMode="External"/><Relationship Id="rId11" Type="http://schemas.openxmlformats.org/officeDocument/2006/relationships/hyperlink" Target="https://eur-lex.europa.eu/legal-content/EN/TXT/?uri=CELEX:32022R0286" TargetMode="External"/><Relationship Id="rId12" Type="http://schemas.openxmlformats.org/officeDocument/2006/relationships/hyperlink" Target="https://www.esma.europa.eu/policy-activities/emir" TargetMode="External"/><Relationship Id="rId13" Type="http://schemas.openxmlformats.org/officeDocument/2006/relationships/hyperlink" Target="https://www.fca.org.uk/markets/post-trade/settlement-cycles" TargetMode="External"/><Relationship Id="rId14" Type="http://schemas.openxmlformats.org/officeDocument/2006/relationships/hyperlink" Target="https://www.bis.org/publ/bcbs265.pdf" TargetMode="External"/><Relationship Id="rId15" Type="http://schemas.openxmlformats.org/officeDocument/2006/relationships/hyperlink" Target="https://www2.deloitte.com/content/dam/Deloitte/uk/Documents/financial-services/deloitte-uk-fs-regulatory-outlook-2025.pdf" TargetMode="External"/><Relationship Id="rId16" Type="http://schemas.openxmlformats.org/officeDocument/2006/relationships/hyperlink" Target="https://www.thetradenews.com/fireside-friday-with-broadridge-internationals-mike-sleighthol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