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Singapore's Budget 2025 tackles AI integration challenges for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Singapore prepares for a technology-driven future, the emphasis on the adoption of emerging technologies, particularly artificial intelligence (AI), has intensified. Despite the urgency, small and medium enterprises (SMEs) face significant challenges in integrating these technologies due to high costs and a lack of expertise. To address these issues, the upcoming Budget 2025 aims to support businesses in overcoming these barriers and enhancing productivity through AI solutions.</w:t>
      </w:r>
      <w:r/>
    </w:p>
    <w:p>
      <w:r/>
      <w:r>
        <w:t>The government's strategic plan seeks to bridge the AI capability gap that exists between larger corporations and SMEs. Recognising that a lack of investment in accessible solutions, such as AI-powered analytics and digital marketing tools, has hampered progress, the Budget reaffirms support through existing initiatives like the Productivity Solutions Grant and the SME Go Digital programme. For those enterprises more advanced in their digital journey, additional measures will be introduced.</w:t>
      </w:r>
      <w:r/>
    </w:p>
    <w:p>
      <w:r/>
      <w:r>
        <w:t>A standout element of Budget 2025 is the introduction of the S$150 million Enterprise Compute Initiative, which is designed to facilitate collaboration between eligible enterprises and major cloud service providers, allowing them access to essential AI tools and computing capabilities. Furthermore, businesses will receive guidance to ensure that they leverage AI in a manner that maximises efficiency in their transformation efforts.</w:t>
      </w:r>
      <w:r/>
    </w:p>
    <w:p>
      <w:r/>
      <w:r>
        <w:t>The Singaporean Government has reiterated the necessity of creating a supportive and collaborative ecosystem for companies, aiming to expedite their digital transformation. To ensure that AI development aligns with global standards, a National AI Governance Advisory Council will be established. This council, comprising industry experts, academics, governmental officials, and other stakeholders, will oversee the alignment of businesses with technological advancements and ethical considerations, fostering trust in AI applications and ensuring they serve society’s broader interests.</w:t>
      </w:r>
      <w:r/>
    </w:p>
    <w:p>
      <w:r/>
      <w:r>
        <w:t>These initiatives aim to enhance Singapore's global standing as a hub for value creation. By leveraging these resources outlined in Budget 2025, businesses are expected to better prepare for future technological advancements, thus becoming increasingly attractive to investors, customers, and a new generation of talent.</w:t>
      </w:r>
      <w:r/>
    </w:p>
    <w:p>
      <w:r/>
      <w:r>
        <w:t>KPMG highlights that Budget 2025 reflects Singapore’s commitment to comprehensive innovation through significant funding initiatives including a S$3 billion top-up for enterprise innovation, alongside the S$1 billion Private Credit Growth Fund established to enhance business financing. The expansion of the National Productivity Fund is also a focal point, with a view to driving sustained long-term efficiency throughout various sectors.</w:t>
      </w:r>
      <w:r/>
    </w:p>
    <w:p>
      <w:r/>
      <w:r>
        <w:t>The landscape of modern leadership is evolving, necessitating leaders who can interpret change and make strategic decisions that keep organisations competitive. KPMG highlights that while Budget 2025 introduces measures for cultivating leadership talent, further structured initiatives, such as a national leadership index, could prove advantageous in synchronising leadership growth with both national and global priorities.</w:t>
      </w:r>
      <w:r/>
    </w:p>
    <w:p>
      <w:r/>
      <w:r>
        <w:t>In promoting workforce adaptability, the Singapore Government has reinforced its commitment to the SkillsFuture initiative, which champions continuous learning. Budget 2025 expands support for individuals across all workforce levels, enhancing opportunities for both full-time and part-time studies. Increased funding for the NTUC Company Training Committee Grant and the SkillsFuture Workforce Development Grant is expected to assist businesses in implementing structured training and redesigning job roles.</w:t>
      </w:r>
      <w:r/>
    </w:p>
    <w:p>
      <w:r/>
      <w:r>
        <w:t>In acknowledgment of the critical nature of leadership and cross-cultural experience, additional provisions will enable Singaporeans to gain overseas work experience. This exposure is intended to cultivate a globally-minded workforce equipped with insights necessary for leadership in an international context.</w:t>
      </w:r>
      <w:r/>
    </w:p>
    <w:p>
      <w:r/>
      <w:r>
        <w:t>Further initiatives, such as the Global Founder Programme, are anticipated to encourage experienced entrepreneurs to establish new ventures in Singapore, thus facilitating a knowledge exchange that strengthens the local business ecosystem and generates employment opportunities.</w:t>
      </w:r>
      <w:r/>
    </w:p>
    <w:p>
      <w:r/>
      <w:r>
        <w:t>Expanding on upskilling strategies, experts suggest that introducing agile micro-credentialling courses could enhance workforce resilience. These courses offer flexible learning paths that enable workers to update their skills in response to the changing demands of business.</w:t>
      </w:r>
      <w:r/>
    </w:p>
    <w:p>
      <w:r/>
      <w:r>
        <w:t>Overall, Budget 2025 serves as a pivotal foundation for Singapore’s progression in the digital age. By enhancing AI adoption, leadership development, and workforce skills, the Government is positioning businesses to remain competitive in an increasingly dynamic global economy. For SMEs, taking advantage of the opportunities presented by Budget 2025 is crucial for ensuring their ongoing viability amidst rapid digital transformation. By aligning with global AI governance and investing in talent development, Singaporean businesses can navigate future challenges with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https://www.crnasia.com/news/2025/artificial-intelligence/ai-and-skills-development-remain-imperative-at-singapore-bud</w:t>
        </w:r>
      </w:hyperlink>
      <w:r>
        <w:t xml:space="preserve"> - This article supports the claim that Singapore Budget 2025 emphasizes AI and skills development, with initiatives like the Enterprise Compute Initiative to enhance AI adoption among businesses.</w:t>
      </w:r>
      <w:r/>
    </w:p>
    <w:p>
      <w:pPr>
        <w:pStyle w:val="ListNumber"/>
        <w:spacing w:line="240" w:lineRule="auto"/>
        <w:ind w:left="720"/>
      </w:pPr>
      <w:r/>
      <w:hyperlink r:id="rId11">
        <w:r>
          <w:rPr>
            <w:color w:val="0000EE"/>
            <w:u w:val="single"/>
          </w:rPr>
          <w:t>https://assets.kpmg.com/content/dam/kpmg/sg/pdf/2025/02/singapore-budget-2025.pdf</w:t>
        </w:r>
      </w:hyperlink>
      <w:r>
        <w:t xml:space="preserve"> - This report from KPMG highlights Singapore's commitment to innovation through Budget 2025, including funding for AI initiatives and support for SMEs in adopting emerging technologies.</w:t>
      </w:r>
      <w:r/>
    </w:p>
    <w:p>
      <w:pPr>
        <w:pStyle w:val="ListNumber"/>
        <w:spacing w:line="240" w:lineRule="auto"/>
        <w:ind w:left="720"/>
      </w:pPr>
      <w:r/>
      <w:hyperlink r:id="rId9">
        <w:r>
          <w:rPr>
            <w:color w:val="0000EE"/>
            <w:u w:val="single"/>
          </w:rPr>
          <w:t>https://www.noahwire.com</w:t>
        </w:r>
      </w:hyperlink>
      <w:r>
        <w:t xml:space="preserve"> - This source provides an overview of Singapore's Budget 2025, focusing on its strategic plans for AI adoption, leadership development, and workforce skills enhancement.</w:t>
      </w:r>
      <w:r/>
    </w:p>
    <w:p>
      <w:pPr>
        <w:pStyle w:val="ListNumber"/>
        <w:spacing w:line="240" w:lineRule="auto"/>
        <w:ind w:left="720"/>
      </w:pPr>
      <w:r/>
      <w:hyperlink r:id="rId12">
        <w:r>
          <w:rPr>
            <w:color w:val="0000EE"/>
            <w:u w:val="single"/>
          </w:rPr>
          <w:t>https://www.straitstimes.com/singapore/budget-2025-singapore-to-get-new-enterprise-compute-initiative</w:t>
        </w:r>
      </w:hyperlink>
      <w:r>
        <w:t xml:space="preserve"> - This article discusses the introduction of the Enterprise Compute Initiative in Budget 2025, aimed at bridging the AI capability gap between large corporations and SMEs.</w:t>
      </w:r>
      <w:r/>
    </w:p>
    <w:p>
      <w:pPr>
        <w:pStyle w:val="ListNumber"/>
        <w:spacing w:line="240" w:lineRule="auto"/>
        <w:ind w:left="720"/>
      </w:pPr>
      <w:r/>
      <w:hyperlink r:id="rId13">
        <w:r>
          <w:rPr>
            <w:color w:val="0000EE"/>
            <w:u w:val="single"/>
          </w:rPr>
          <w:t>https://www.channelnewsasia.com/singapore/singapore-budget-2025-skillsfuture-initiative-ntuc-grant-3244426</w:t>
        </w:r>
      </w:hyperlink>
      <w:r>
        <w:t xml:space="preserve"> - This news piece covers the expansion of the SkillsFuture initiative and other workforce development grants in Budget 2025, enhancing opportunities for continuous learning and job redesign.</w:t>
      </w:r>
      <w:r/>
    </w:p>
    <w:p>
      <w:pPr>
        <w:pStyle w:val="ListNumber"/>
        <w:spacing w:line="240" w:lineRule="auto"/>
        <w:ind w:left="720"/>
      </w:pPr>
      <w:r/>
      <w:hyperlink r:id="rId14">
        <w:r>
          <w:rPr>
            <w:color w:val="0000EE"/>
            <w:u w:val="single"/>
          </w:rPr>
          <w:t>https://www.todayonline.com/singapore/singapore-budget-2025-ai-governance-council</w:t>
        </w:r>
      </w:hyperlink>
      <w:r>
        <w:t xml:space="preserve"> - This article mentions the establishment of a National AI Governance Advisory Council to ensure AI development aligns with global standards and ethical considerations.</w:t>
      </w:r>
      <w:r/>
    </w:p>
    <w:p>
      <w:pPr>
        <w:pStyle w:val="ListNumber"/>
        <w:spacing w:line="240" w:lineRule="auto"/>
        <w:ind w:left="720"/>
      </w:pPr>
      <w:r/>
      <w:hyperlink r:id="rId15">
        <w:r>
          <w:rPr>
            <w:color w:val="0000EE"/>
            <w:u w:val="single"/>
          </w:rPr>
          <w:t>https://sme.asia/budget-2025-singapores-path-to-a-technology-enabled-future-says-kpmg/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asia.com/news/2025/artificial-intelligence/ai-and-skills-development-remain-imperative-at-singapore-bud" TargetMode="External"/><Relationship Id="rId11" Type="http://schemas.openxmlformats.org/officeDocument/2006/relationships/hyperlink" Target="https://assets.kpmg.com/content/dam/kpmg/sg/pdf/2025/02/singapore-budget-2025.pdf" TargetMode="External"/><Relationship Id="rId12" Type="http://schemas.openxmlformats.org/officeDocument/2006/relationships/hyperlink" Target="https://www.straitstimes.com/singapore/budget-2025-singapore-to-get-new-enterprise-compute-initiative" TargetMode="External"/><Relationship Id="rId13" Type="http://schemas.openxmlformats.org/officeDocument/2006/relationships/hyperlink" Target="https://www.channelnewsasia.com/singapore/singapore-budget-2025-skillsfuture-initiative-ntuc-grant-3244426" TargetMode="External"/><Relationship Id="rId14" Type="http://schemas.openxmlformats.org/officeDocument/2006/relationships/hyperlink" Target="https://www.todayonline.com/singapore/singapore-budget-2025-ai-governance-council" TargetMode="External"/><Relationship Id="rId15" Type="http://schemas.openxmlformats.org/officeDocument/2006/relationships/hyperlink" Target="https://sme.asia/budget-2025-singapores-path-to-a-technology-enabled-future-says-kpm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