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rise over pay-to-play practices in advertising pitches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This week, Campaign Asia focused on an op-ed by VoxComm, an alliance of communications agencies associations, which has raised concerns regarding the increasing prevalence of pay-to-play pitches in the advertising industry. The organisation asserts that this model, which requires agencies to compensate intermediaries for the opportunity to pitch for accounts, undermines fair competition within the sector. VoxComm stated, “Agencies are being asked to pay intermediaries for the privilege of pitching for accounts. This scheme is on the rise and threatens the value and competition our industry delivers.”</w:t>
      </w:r>
      <w:r/>
    </w:p>
    <w:p>
      <w:r/>
      <w:r>
        <w:t>The implications of pay-to-play practices are significant. VoxComm argues that agencies unwilling to pay these fees may find themselves excluded from shortlist considerations, thus limiting advertisers’ access to a broader pool of creative talent. Ishan Chatterjee, vice-president of global growth at R3, highlighted that such practices may not only affect how agencies are selected for pitches but could also adversely impact team dynamics and motivation. He indicated that when teams know their participation isn’t based solely on merit, it may hinder their ability to produce their best work.</w:t>
      </w:r>
      <w:r/>
    </w:p>
    <w:p>
      <w:r/>
      <w:r>
        <w:t>The organisation also pointed out a troubling trend wherein the cost of pitching shifts entirely onto agencies. Lucinda Peniston-Baines, founder and managing partner at The Observatory, described this shift as a “false economy,” suggesting that while clients may initially save money, they will likely encounter increased rates from agencies attempting to recover their pitch-related expenses in the long run. VoxComm further questioned the ethics of the pay-to-play model, stating, “Anecdotally, it appears those agencies that pay a fee to consultants for training and consultancy on new business are more likely to be the same agencies that end up on shortlists managed by the same intermediary.” The organisation called for transparency and fairness in pitch processes, urging advertisers to reconsider their engagements with pay-to-play intermediaries.</w:t>
      </w:r>
      <w:r/>
    </w:p>
    <w:p>
      <w:r/>
      <w:r>
        <w:t>In response to the VoxComm op-ed, several intermediaries defended their practices. Victoria Fox, chief executive officer of AAR, asserted that her firm does not operate on a pay-to-play basis: “AAR does not operate a pay-to-play model. All clients have open access to the market on pitches we run.” She emphasised that AAR maintains transparency regarding its commercial model and recounted that less than 4% of agencies in their database utilise their consultancy services, which are not a prerequisite for pitch participation.</w:t>
      </w:r>
      <w:r/>
    </w:p>
    <w:p>
      <w:r/>
      <w:r>
        <w:t>Lucinda Peniston-Baines reiterated her position that agency funding creates a conflict of interest for intermediaries. She urged marketers and procurement professionals to ask potential pitch consultancies about their funding and transparency to ensure that the agency selection process prioritises the client’s best interests.</w:t>
      </w:r>
      <w:r/>
    </w:p>
    <w:p>
      <w:r/>
      <w:r>
        <w:t>Other industry voices sounded similar notes of caution. David Indo, chief executive of ID Comms, mentioned that such practices not only jeopardise fair competition but can also erode the integrity of the pitch process itself. He stated, “These practices distort fair competition, restrict access to top agencies (and talent), and erode the integrity of the pitch process.” He advocated for advertisers to work with consultants who uphold rigorous standards of fairness and transparency.</w:t>
      </w:r>
      <w:r/>
    </w:p>
    <w:p>
      <w:r/>
      <w:r>
        <w:t>Rebecca McKinlay, managing director of Oystercatchers, voiced concern that many clients may be unaware of pay-to-play practices. She noted that intermediaries operating on win fees could lead to biases in agency recommendations, ultimately limiting client choices.</w:t>
      </w:r>
      <w:r/>
    </w:p>
    <w:p>
      <w:r/>
      <w:r>
        <w:t xml:space="preserve">Tina Fegent, a marketing procurement consultant, reaffirmed the necessity of impartiality in agency selection processes. She contended that agencies should be evaluated based on merit and fit rather than on financial capabilities. </w:t>
      </w:r>
      <w:r/>
    </w:p>
    <w:p>
      <w:r/>
      <w:r>
        <w:t>As the conversation unfolds, the advertising industry remains engaged in an important discussion about the impact of pay-to-play models on creativity, competition, and the overall landscape of agency-client relationships.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https://www.campaignlive.com/article/intermediaries-pay-to-play-pitches/1907262</w:t>
        </w:r>
      </w:hyperlink>
      <w:r>
        <w:t xml:space="preserve"> - This article discusses VoxComm's concerns about pay-to-play pitches, highlighting how they undermine fair competition and limit access to creative talent. It also includes responses from intermediaries like AAR and The Observatory.</w:t>
      </w:r>
      <w:r/>
    </w:p>
    <w:p>
      <w:pPr>
        <w:pStyle w:val="ListNumber"/>
        <w:spacing w:line="240" w:lineRule="auto"/>
        <w:ind w:left="720"/>
      </w:pPr>
      <w:r/>
      <w:hyperlink r:id="rId10">
        <w:r>
          <w:rPr>
            <w:color w:val="0000EE"/>
            <w:u w:val="single"/>
          </w:rPr>
          <w:t>https://www.campaignlive.com/article/intermediaries-pay-to-play-pitches/1907262</w:t>
        </w:r>
      </w:hyperlink>
      <w:r>
        <w:t xml:space="preserve"> - The article further explores the implications of pay-to-play practices, including the potential negative impact on team motivation and the cost burden shifting to agencies.</w:t>
      </w:r>
      <w:r/>
    </w:p>
    <w:p>
      <w:pPr>
        <w:pStyle w:val="ListNumber"/>
        <w:spacing w:line="240" w:lineRule="auto"/>
        <w:ind w:left="720"/>
      </w:pPr>
      <w:r/>
      <w:hyperlink r:id="rId10">
        <w:r>
          <w:rPr>
            <w:color w:val="0000EE"/>
            <w:u w:val="single"/>
          </w:rPr>
          <w:t>https://www.campaignlive.com/article/intermediaries-pay-to-play-pitches/1907262</w:t>
        </w:r>
      </w:hyperlink>
      <w:r>
        <w:t xml:space="preserve"> - Victoria Fox from AAR is quoted, emphasizing AAR's transparency and non-pay-to-play model, which ensures open access to the market for all clients.</w:t>
      </w:r>
      <w:r/>
    </w:p>
    <w:p>
      <w:pPr>
        <w:pStyle w:val="ListNumber"/>
        <w:spacing w:line="240" w:lineRule="auto"/>
        <w:ind w:left="720"/>
      </w:pPr>
      <w:r/>
      <w:hyperlink r:id="rId10">
        <w:r>
          <w:rPr>
            <w:color w:val="0000EE"/>
            <w:u w:val="single"/>
          </w:rPr>
          <w:t>https://www.campaignlive.com/article/intermediaries-pay-to-play-pitches/1907262</w:t>
        </w:r>
      </w:hyperlink>
      <w:r>
        <w:t xml:space="preserve"> - Lucinda Peniston-Baines from The Observatory discusses the conflict of interest created by agency funding and the importance of transparency in pitch processes.</w:t>
      </w:r>
      <w:r/>
    </w:p>
    <w:p>
      <w:pPr>
        <w:pStyle w:val="ListNumber"/>
        <w:spacing w:line="240" w:lineRule="auto"/>
        <w:ind w:left="720"/>
      </w:pPr>
      <w:r/>
      <w:hyperlink r:id="rId10">
        <w:r>
          <w:rPr>
            <w:color w:val="0000EE"/>
            <w:u w:val="single"/>
          </w:rPr>
          <w:t>https://www.campaignlive.com/article/intermediaries-pay-to-play-pitches/1907262</w:t>
        </w:r>
      </w:hyperlink>
      <w:r>
        <w:t xml:space="preserve"> - David Indo from ID Comms criticizes pay-to-play practices for distorting competition and eroding pitch process integrity, advocating for fairness and transparency.</w:t>
      </w:r>
      <w:r/>
    </w:p>
    <w:p>
      <w:pPr>
        <w:pStyle w:val="ListNumber"/>
        <w:spacing w:line="240" w:lineRule="auto"/>
        <w:ind w:left="720"/>
      </w:pPr>
      <w:r/>
      <w:hyperlink r:id="rId10">
        <w:r>
          <w:rPr>
            <w:color w:val="0000EE"/>
            <w:u w:val="single"/>
          </w:rPr>
          <w:t>https://www.campaignlive.com/article/intermediaries-pay-to-play-pitches/1907262</w:t>
        </w:r>
      </w:hyperlink>
      <w:r>
        <w:t xml:space="preserve"> - Rebecca McKinlay from Oystercatchers expresses concerns about client unawareness of pay-to-play models and their potential to limit agency choices.</w:t>
      </w:r>
      <w:r/>
    </w:p>
    <w:p>
      <w:pPr>
        <w:pStyle w:val="ListNumber"/>
        <w:spacing w:line="240" w:lineRule="auto"/>
        <w:ind w:left="720"/>
      </w:pPr>
      <w:r/>
      <w:hyperlink r:id="rId11">
        <w:r>
          <w:rPr>
            <w:color w:val="0000EE"/>
            <w:u w:val="single"/>
          </w:rPr>
          <w:t>https://www.campaignasia.com:443/article/pitch-consultants-respond-to-pay-to-play-criticism-dont-lump-all-intermediar/500937</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mpaignlive.com/article/intermediaries-pay-to-play-pitches/1907262" TargetMode="External"/><Relationship Id="rId11" Type="http://schemas.openxmlformats.org/officeDocument/2006/relationships/hyperlink" Target="https://www.campaignasia.com:443/article/pitch-consultants-respond-to-pay-to-play-criticism-dont-lump-all-intermediar/5009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