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Corporate Australia's responsibility to engage with First Nations for climate 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light of the escalating climate crisis, there is an urgent call for corporate Australia to move beyond mere compliance and engage in meaningful collaborations with First Nations communities. The need for bold action and elevated standards is underscored by a belief that industry leaders cannot afford to view climate initiatives as mere box-ticking exercises.</w:t>
      </w:r>
      <w:r/>
    </w:p>
    <w:p>
      <w:r/>
      <w:r>
        <w:t>The discourse suggests that corporate interactions with First Nations communities have historically been transactional, often limited to contracts or compliance-driven partnerships. While acknowledging the importance of such arrangements, industry experts argue that they do not fully exploit the potential for impactful relationships. Instead, there lies a significant opportunity for corporations to invest in First Nations businesses, talent, and community development, thus driving real social impact. The emphasis is on forming genuine partnerships that create long-lasting capacity and economic stability rather than merely fulfilling obligations.</w:t>
      </w:r>
      <w:r/>
    </w:p>
    <w:p>
      <w:r/>
      <w:r>
        <w:t>As the potential threat of ‘omnibus’ legislation looms, which critics argue could dilute the value of Environmental, Social, and Governance (ESG) commitments, the call for high standards becomes increasingly critical. Genuine ESG engagement is encouraged to transcend public relations and instead evolve into measurable actions that promote sustainability and ethical practices throughout business operations. Stakeholders are reminded that embedding First Nations governance and prioritising local suppliers are fundamental components in achieving sustainable outcomes.</w:t>
      </w:r>
      <w:r/>
    </w:p>
    <w:p>
      <w:r/>
      <w:r>
        <w:t>The perspective highlighted by industry voices is that climate action cannot occur in isolation but must instead rely on collaborative efforts across various sectors and communities. Establishing authentic relationships with First Nations is framed as a business imperative. By integrating Traditional Ecological Knowledge into sustainability strategies, companies can potentially enhance their efforts in addressing climate challenges and uncover innovative solutions.</w:t>
      </w:r>
      <w:r/>
    </w:p>
    <w:p>
      <w:r/>
      <w:r>
        <w:t>Leadership is posited as a crucial factor in the quest for effective climate action. Corporate leaders are called upon to adopt higher ambitions, act decisively, and prioritise ethical considerations over short-term profits. In order to craft resilient and effective solutions, there is a strong push for corporate leaders to elevate First Nations voices in the decision-making processes that affect their environments and livelihoods.</w:t>
      </w:r>
      <w:r/>
    </w:p>
    <w:p>
      <w:r/>
      <w:r>
        <w:t>Historically, First Nations communities have often been excluded from the discussions that shape policies impacting their land. The current climate crisis, combined with their unique perspectives on sustainability, positions them as essential contributors to effective decision-making. Thus, corporations are encouraged to adopt a more transparent and inclusive approach, actively sharing power and involving these communities in the governance and strategic planning processes related to climate initiatives.</w:t>
      </w:r>
      <w:r/>
    </w:p>
    <w:p>
      <w:r/>
      <w:r>
        <w:t>As the climate crisis necessitates cohesive and ambitious strategies, the call is clear: corporate Australia must embrace its role and recognise that significant successes in sustainability cannot be achieved in silos. Collaborative efforts not only promise better social outcomes but are also central to advancing sustainable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https://www.stantec.com/au/news/2024/stantec-australia-partners-first-nations-clean-energy-network-address-climate-action</w:t>
        </w:r>
      </w:hyperlink>
      <w:r>
        <w:t xml:space="preserve"> - This URL supports the claim that corporate Australia is moving towards meaningful collaborations with First Nations communities to address climate action. It highlights Stantec's partnership with the First Nations Clean Energy Network to support indigenous-led renewable energy projects.</w:t>
      </w:r>
      <w:r/>
    </w:p>
    <w:p>
      <w:pPr>
        <w:pStyle w:val="ListNumber"/>
        <w:spacing w:line="240" w:lineRule="auto"/>
        <w:ind w:left="720"/>
      </w:pPr>
      <w:r/>
      <w:hyperlink r:id="rId11">
        <w:r>
          <w:rPr>
            <w:color w:val="0000EE"/>
            <w:u w:val="single"/>
          </w:rPr>
          <w:t>https://womensagenda.com.au/latest/as-we-face-a-climate-crisis-corporate-responsibility-and-collaboration-are-overdue/</w:t>
        </w:r>
      </w:hyperlink>
      <w:r>
        <w:t xml:space="preserve"> - This article emphasizes the importance of corporate Australia engaging in genuine partnerships with First Nations communities to drive real social impact and enhance climate strategies. It underscores the need for collaboration beyond transactional relationships.</w:t>
      </w:r>
      <w:r/>
    </w:p>
    <w:p>
      <w:pPr>
        <w:pStyle w:val="ListNumber"/>
        <w:spacing w:line="240" w:lineRule="auto"/>
        <w:ind w:left="720"/>
      </w:pPr>
      <w:r/>
      <w:hyperlink r:id="rId12">
        <w:r>
          <w:rPr>
            <w:color w:val="0000EE"/>
            <w:u w:val="single"/>
          </w:rPr>
          <w:t>https://pollinationgroup.com/media_post/world-first-partnership-to-deliver-australias-first-clean-energy-export-hub/</w:t>
        </w:r>
      </w:hyperlink>
      <w:r>
        <w:t xml:space="preserve"> - This partnership model demonstrates how collaborative efforts between indigenous communities and climate change solutions companies can lead to more equitable and sustainable project developments. It highlights the importance of co-design and co-decision-making processes.</w:t>
      </w:r>
      <w:r/>
    </w:p>
    <w:p>
      <w:pPr>
        <w:pStyle w:val="ListNumber"/>
        <w:spacing w:line="240" w:lineRule="auto"/>
        <w:ind w:left="720"/>
      </w:pPr>
      <w:r/>
      <w:hyperlink r:id="rId13">
        <w:r>
          <w:rPr>
            <w:color w:val="0000EE"/>
            <w:u w:val="single"/>
          </w:rPr>
          <w:t>https://www.vacourts.gov/courts/scv/rulesofcourt.pdf</w:t>
        </w:r>
      </w:hyperlink>
      <w:r>
        <w:t xml:space="preserve"> - Although not directly related to climate action or First Nations collaborations, this document provides a framework for legal proceedings, which can be relevant in understanding the legal context of corporate responsibilities and partnerships.</w:t>
      </w:r>
      <w:r/>
    </w:p>
    <w:p>
      <w:pPr>
        <w:pStyle w:val="ListNumber"/>
        <w:spacing w:line="240" w:lineRule="auto"/>
        <w:ind w:left="720"/>
      </w:pPr>
      <w:r/>
      <w:hyperlink r:id="rId14">
        <w:r>
          <w:rPr>
            <w:color w:val="0000EE"/>
            <w:u w:val="single"/>
          </w:rPr>
          <w:t>https://www.uspto.gov/sites/default/files/documents/tmlaw.pdf</w:t>
        </w:r>
      </w:hyperlink>
      <w:r>
        <w:t xml:space="preserve"> - Similar to the previous entry, this document focuses on trademark rules and does not directly address climate action or First Nations partnerships. However, it illustrates the broader legal landscape that corporations must navigate.</w:t>
      </w:r>
      <w:r/>
    </w:p>
    <w:p>
      <w:pPr>
        <w:pStyle w:val="ListNumber"/>
        <w:spacing w:line="240" w:lineRule="auto"/>
        <w:ind w:left="720"/>
      </w:pPr>
      <w:r/>
      <w:hyperlink r:id="rId9">
        <w:r>
          <w:rPr>
            <w:color w:val="0000EE"/>
            <w:u w:val="single"/>
          </w:rPr>
          <w:t>https://www.noahwire.com</w:t>
        </w:r>
      </w:hyperlink>
      <w:r>
        <w:t xml:space="preserve"> - This source is mentioned as the origin of the article but does not provide additional corroboration beyond the text itself.</w:t>
      </w:r>
      <w:r/>
    </w:p>
    <w:p>
      <w:pPr>
        <w:pStyle w:val="ListNumber"/>
        <w:spacing w:line="240" w:lineRule="auto"/>
        <w:ind w:left="720"/>
      </w:pPr>
      <w:r/>
      <w:hyperlink r:id="rId15">
        <w:r>
          <w:rPr>
            <w:color w:val="0000EE"/>
            <w:u w:val="single"/>
          </w:rPr>
          <w:t>https://news.google.com/rss/articles/CBMiugFBVV95cUxNbmNRWk1vWU9GLTdzcTZnSzlMeGRtR0VoLWsxUnZ2b3M1eHJ4TV9tbUVfMEc0b1BUdGdOMkRBbnMzSWFCZlJmb0czTlFTSmk2UHgyS1FVNHZGa3JKdDFpa0RZTm5UR2hLMmp3YVRqcGlGXzQ5WGpQY1lWZGFxa2VDNVQtcWpXUDRoam9lNGpWbWVHZEhiLThWeU9hMGFvcHNiVmtIaG5WTHZRZVVtV3RINU4wamkwcHN0Zn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tec.com/au/news/2024/stantec-australia-partners-first-nations-clean-energy-network-address-climate-action" TargetMode="External"/><Relationship Id="rId11" Type="http://schemas.openxmlformats.org/officeDocument/2006/relationships/hyperlink" Target="https://womensagenda.com.au/latest/as-we-face-a-climate-crisis-corporate-responsibility-and-collaboration-are-overdue/" TargetMode="External"/><Relationship Id="rId12" Type="http://schemas.openxmlformats.org/officeDocument/2006/relationships/hyperlink" Target="https://pollinationgroup.com/media_post/world-first-partnership-to-deliver-australias-first-clean-energy-export-hub/"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www.uspto.gov/sites/default/files/documents/tmlaw.pdf" TargetMode="External"/><Relationship Id="rId15" Type="http://schemas.openxmlformats.org/officeDocument/2006/relationships/hyperlink" Target="https://news.google.com/rss/articles/CBMiugFBVV95cUxNbmNRWk1vWU9GLTdzcTZnSzlMeGRtR0VoLWsxUnZ2b3M1eHJ4TV9tbUVfMEc0b1BUdGdOMkRBbnMzSWFCZlJmb0czTlFTSmk2UHgyS1FVNHZGa3JKdDFpa0RZTm5UR2hLMmp3YVRqcGlGXzQ5WGpQY1lWZGFxa2VDNVQtcWpXUDRoam9lNGpWbWVHZEhiLThWeU9hMGFvcHNiVmtIaG5WTHZRZVVtV3RINU4wamkwcHN0Zn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