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OCC removes reputation risk from regulatory assessments, raising concerns in B2B payments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regulatory shift, the Office of the Comptroller of the Currency (OCC) announced on Thursday, March 20, that it will cease examining financial institutions for reputation risk. This decision is part of a broader effort to refine its regulatory focus, clarifying that future assessments will centre on quantifiable risk categories. The OCC, responsible for regulating and supervising national banks and federal savings associations, has removed references to “reputation risk” from its Comptroller’s Handbook and related guidance materials.</w:t>
      </w:r>
      <w:r/>
    </w:p>
    <w:p>
      <w:r/>
      <w:r>
        <w:t>The OCC's move is intended to streamline its regulatory framework, yet it raises critical questions about the role of reputation in the business-to-business (B2B) payments landscape, where trust, transparency, and perceived risk have always been paramount. Despite the regulatory change, the importance of reputation in B2B transactions is unlikely to diminish. In fact, as outlined by PYMNTS, in today's challenging business environment, the stakes associated with reputational considerations may be higher than ever.</w:t>
      </w:r>
      <w:r/>
    </w:p>
    <w:p>
      <w:r/>
      <w:r>
        <w:t xml:space="preserve">In practice, while the OCC has stepped back from scrutinising banks on reputation grounds, businesses remain acutely aware of how their partners are perceived in the market. Vendor selection, partnership decisions, and cross-border payment strategies still rely heavily on the reputation of involved parties. As PYMNTS details, “Reputation risk hasn’t disappeared. It has just migrated from the regulator’s playbook to the front lines of business operations.” </w:t>
      </w:r>
      <w:r/>
    </w:p>
    <w:p>
      <w:r/>
      <w:r>
        <w:t>Rodger Desai, CEO of Prove Identity, highlighted the necessity of establishing secure digital relationships, stating, “The digital front doors of most businesses are not very secure. These things have to be signed — because by signing it, you can authenticate the vendor or counterparty and make sure it’s someone you trust.” Trust is emerging as a critical currency within the modern B2B payments ecosystem, which increasingly incorporates technology such as application programming interfaces (APIs), embedded finance, and real-time settlement solutions.</w:t>
      </w:r>
      <w:r/>
    </w:p>
    <w:p>
      <w:r/>
      <w:r>
        <w:t>Notably, data reveals that the implementation of digital payment methods can markedly enhance payment timeliness, as illustrated by research from PYMNTS Intelligence, which found that 86% of general contractors experienced quicker payments when working with developers utilising these methods. This operational shift fosters not only improved cash flow but also cultivates stronger relationships between businesses.</w:t>
      </w:r>
      <w:r/>
    </w:p>
    <w:p>
      <w:r/>
      <w:r>
        <w:t>The procurement process now commonly involves evaluating factors beyond regulatory compliance, such as vendor history, client testimonials, and media coverage. For companies in sectors like healthcare and energy, any misstep with a payments partner can result in significant repercussions, leading to scrutiny from customers, investors, and regulatory bodies.</w:t>
      </w:r>
      <w:r/>
    </w:p>
    <w:p>
      <w:r/>
      <w:r>
        <w:t>In the realm of cross-border transactions, the complexities of varying regulatory environments amplify the importance of reputation. Businesses often rely on brand reputation and third-party assurances to conduct their due diligence when engaging with international partners, where regulatory standards and political climates differ.</w:t>
      </w:r>
      <w:r/>
    </w:p>
    <w:p>
      <w:r/>
      <w:r>
        <w:t>Illya Shell, Chief Operating Officer at Boost Payment Solutions, noted that the winners in the evolving payments landscape will be those who can adapt quickly to customer needs. He remarked, “The inflexibility of traditional systems and platforms have prevented lots of companies from moving forward and keeping up with the changing dynamics of the large B2B buyer-supplier relationships.”</w:t>
      </w:r>
      <w:r/>
    </w:p>
    <w:p>
      <w:r/>
      <w:r>
        <w:t>The March edition of The 2025 Certainty Project further underlines the shift in corporate strategy, revealing that 65% of CFOs are negotiating with suppliers in response to ongoing uncertainties. This negotiation often hinges on the foundation of trust, reinforcing the notion that the removal of regulatory oversight by the OCC does not diminish the weight of reputational considerations.</w:t>
      </w:r>
      <w:r/>
    </w:p>
    <w:p>
      <w:r/>
      <w:r>
        <w:t>As businesses navigate an increasingly complex B2B payments environment, the responsibility for managing reputational risk is increasingly falling to treasurers, CFOs, and procurement officers. They are becoming the stewards of reputation, a pivotal aspect of business transactions that continues to influence market dynamics, regardless of the regulatory landscape. In B2B payments, reputation remains a fundamental pillar, asserting its importance despite the OCC’s updating of its regulatory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https://www.consumerfinanceandfintechblog.com/2025/03/occ-eliminates-reputational-risk-category-from-bank-supervision-criteria/</w:t>
        </w:r>
      </w:hyperlink>
      <w:r>
        <w:t xml:space="preserve"> - This article supports the claim that the OCC has eliminated reputation risk as a standalone category in its supervision of national banks and federal savings associations. It explains the shift in the OCC's regulatory framework and its implications.</w:t>
      </w:r>
      <w:r/>
    </w:p>
    <w:p>
      <w:pPr>
        <w:pStyle w:val="ListNumber"/>
        <w:spacing w:line="240" w:lineRule="auto"/>
        <w:ind w:left="720"/>
      </w:pPr>
      <w:r/>
      <w:hyperlink r:id="rId11">
        <w:r>
          <w:rPr>
            <w:color w:val="0000EE"/>
            <w:u w:val="single"/>
          </w:rPr>
          <w:t>https://www.icba.org/newsroom/news-and-articles/2025/03/21/occ-to-cease-examinations-for-reputation-risk</w:t>
        </w:r>
      </w:hyperlink>
      <w:r>
        <w:t xml:space="preserve"> - This article corroborates the OCC's decision to cease examining financial institutions for reputation risk and highlights the agency's objectives in refining its regulatory focus.</w:t>
      </w:r>
      <w:r/>
    </w:p>
    <w:p>
      <w:pPr>
        <w:pStyle w:val="ListNumber"/>
        <w:spacing w:line="240" w:lineRule="auto"/>
        <w:ind w:left="720"/>
      </w:pPr>
      <w:r/>
      <w:hyperlink r:id="rId9">
        <w:r>
          <w:rPr>
            <w:color w:val="0000EE"/>
            <w:u w:val="single"/>
          </w:rPr>
          <w:t>https://www.noahwire.com</w:t>
        </w:r>
      </w:hyperlink>
      <w:r>
        <w:t xml:space="preserve"> - This source provides context on the importance of reputation in B2B transactions and how businesses continue to prioritize it despite regulatory changes.</w:t>
      </w:r>
      <w:r/>
    </w:p>
    <w:p>
      <w:pPr>
        <w:pStyle w:val="ListNumber"/>
        <w:spacing w:line="240" w:lineRule="auto"/>
        <w:ind w:left="720"/>
      </w:pPr>
      <w:r/>
      <w:hyperlink r:id="rId12">
        <w:r>
          <w:rPr>
            <w:color w:val="0000EE"/>
            <w:u w:val="single"/>
          </w:rPr>
          <w:t>https://www.pymnts.com</w:t>
        </w:r>
      </w:hyperlink>
      <w:r>
        <w:t xml:space="preserve"> - PYMNTS Intelligence research supports the claim that digital payment methods enhance payment timeliness and foster stronger business relationships, emphasizing the role of reputation in B2B transactions.</w:t>
      </w:r>
      <w:r/>
    </w:p>
    <w:p>
      <w:pPr>
        <w:pStyle w:val="ListNumber"/>
        <w:spacing w:line="240" w:lineRule="auto"/>
        <w:ind w:left="720"/>
      </w:pPr>
      <w:r/>
      <w:hyperlink r:id="rId13">
        <w:r>
          <w:rPr>
            <w:color w:val="0000EE"/>
            <w:u w:val="single"/>
          </w:rPr>
          <w:t>https://www.prove.com</w:t>
        </w:r>
      </w:hyperlink>
      <w:r>
        <w:t xml:space="preserve"> - Prove Identity's perspective on establishing secure digital relationships highlights the necessity of trust and authentication in modern B2B payments, underscoring the importance of reputation.</w:t>
      </w:r>
      <w:r/>
    </w:p>
    <w:p>
      <w:pPr>
        <w:pStyle w:val="ListNumber"/>
        <w:spacing w:line="240" w:lineRule="auto"/>
        <w:ind w:left="720"/>
      </w:pPr>
      <w:r/>
      <w:hyperlink r:id="rId14">
        <w:r>
          <w:rPr>
            <w:color w:val="0000EE"/>
            <w:u w:val="single"/>
          </w:rPr>
          <w:t>https://www.boostpayments.com</w:t>
        </w:r>
      </w:hyperlink>
      <w:r>
        <w:t xml:space="preserve"> - Boost Payment Solutions' insights on adapting to customer needs in the evolving payments landscape reinforce the idea that reputation remains crucial for businesses navigating complex B2B transactions.</w:t>
      </w:r>
      <w:r/>
    </w:p>
    <w:p>
      <w:pPr>
        <w:pStyle w:val="ListNumber"/>
        <w:spacing w:line="240" w:lineRule="auto"/>
        <w:ind w:left="720"/>
      </w:pPr>
      <w:r/>
      <w:hyperlink r:id="rId15">
        <w:r>
          <w:rPr>
            <w:color w:val="0000EE"/>
            <w:u w:val="single"/>
          </w:rPr>
          <w:t>https://www.pymnts.com/news/b2b-payments/2025/occ-says-reputation-risk-no-biggie-for-banks-but-trust-still-underpins-b2b/</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umerfinanceandfintechblog.com/2025/03/occ-eliminates-reputational-risk-category-from-bank-supervision-criteria/" TargetMode="External"/><Relationship Id="rId11" Type="http://schemas.openxmlformats.org/officeDocument/2006/relationships/hyperlink" Target="https://www.icba.org/newsroom/news-and-articles/2025/03/21/occ-to-cease-examinations-for-reputation-risk" TargetMode="External"/><Relationship Id="rId12" Type="http://schemas.openxmlformats.org/officeDocument/2006/relationships/hyperlink" Target="https://www.pymnts.com" TargetMode="External"/><Relationship Id="rId13" Type="http://schemas.openxmlformats.org/officeDocument/2006/relationships/hyperlink" Target="https://www.prove.com" TargetMode="External"/><Relationship Id="rId14" Type="http://schemas.openxmlformats.org/officeDocument/2006/relationships/hyperlink" Target="https://www.boostpayments.com" TargetMode="External"/><Relationship Id="rId15" Type="http://schemas.openxmlformats.org/officeDocument/2006/relationships/hyperlink" Target="https://www.pymnts.com/news/b2b-payments/2025/occ-says-reputation-risk-no-biggie-for-banks-but-trust-still-underpins-b2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