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Publishers need deeper partnerships for sustainable digital advertising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digital advertising, publishers face the challenge of navigating a multitude of tools and vendors designed to enhance their performance. Many, however, find it difficult to convert these offerings into substantial business outcomes. Nick Rees, the associate director of customer success at Wunderkind, asserts that the key to overcoming this complexity lies not merely in adopting the latest technology but in cultivating deeper partnerships that drive tangible results.</w:t>
      </w:r>
      <w:r/>
    </w:p>
    <w:p>
      <w:r/>
      <w:r>
        <w:t>According to Rees, a foundational understanding of a publisher's business goals is essential for effective collaboration with vendors. By articulating their objectives clearly, publishers enable vendors to tailor their strategies, thereby fostering outcomes that extend beyond isolated successes. "When vendors are given a clear picture of a publisher’s goals and the nuances of its audience," he stated in an article for Digiday, "they can deliver outcomes that go beyond one-off wins to sustained success."</w:t>
      </w:r>
      <w:r/>
    </w:p>
    <w:p>
      <w:r/>
      <w:r>
        <w:t>The concept of performance marketing, traditionally assessed through metrics such as click-through rates (CTRs), return on ad spend (ROAS), and conversion rates, is evolving. Rees highlights that these key performance indicators (KPIs) often provide an incomplete picture, as many publishers rely on outdated assumptions about what constitutes success. "The reality is that strategies, platforms, and consumer behaviours are constantly evolving, and a playbook that worked a year ago may no longer be relevant today," he noted. For instance, Rees points out that a high click-through rate does not necessarily equate to meaningful engagement, and a single conversion does not guarantee long-term customer loyalty.</w:t>
      </w:r>
      <w:r/>
    </w:p>
    <w:p>
      <w:r/>
      <w:r>
        <w:t>To advance beyond superficial metrics, the focus must shift towards a deeper analytical approach. This involves understanding not only how an advertisement performs but also investigating the underlying reasons for its success. Rees emphasizes the importance of examining consumer behaviours, evaluating customer lifetime value, and converting data insights into actionable strategies. "Testing isn’t just about running A/B experiments — it’s about uncovering what resonates with audiences and why," he explained.</w:t>
      </w:r>
      <w:r/>
    </w:p>
    <w:p>
      <w:r/>
      <w:r>
        <w:t>As the industry transitions towards a cookieless future, first-party data collection has become an essential priority for publishers. Rees asserts that gathering this data requires more than simply collecting email addresses; it necessitates a comprehensive strategy that offers users real value in exchange for their information. Innovative methods such as providing exclusive content, personalised recommendations, and loyalty incentives are suggested as ways to enhance user engagement while collecting valuable data.</w:t>
      </w:r>
      <w:r/>
    </w:p>
    <w:p>
      <w:r/>
      <w:r>
        <w:t>Publishers often fall into the high-pressure environment of seeking quick performance gains, a tactic that can lead to audience fatigue and reduced effectiveness over time. As consumers grow increasingly desensitised to pervasive advertising, Rees suggests that publishers need to focus on user experiences that consider the audience's needs rather than solely their own metrics. “To sustain long-term success, publishers must shift their perspective from a publisher’s lens to the user’s needs — prioritising relevance, reducing friction and ensuring that every interaction drives the highest-value action at each step of the reader’s journey.”</w:t>
      </w:r>
      <w:r/>
    </w:p>
    <w:p>
      <w:r/>
      <w:r>
        <w:t>Moreover, flexibility in execution is crucial for publishers to adapt to changing quarterly goals. Whether expanding ad audience targeting to maximise revenue during peak periods or tightening frequency caps to safeguard user experiences, the agility to adjust strategies in response to evolving demands is vital. Rees highlights the importance of establishing clear goals and prioritised KPIs to enable effective modifications. Specifically, he advises against pursuing multiple performance indicators without a coherent strategy, instead proposing that publishers create a hierarchy of goals aligned with their broader vision.</w:t>
      </w:r>
      <w:r/>
    </w:p>
    <w:p>
      <w:r/>
      <w:r>
        <w:t>Ultimately, fostering meaningful relationships with vendors offers publishers a valuable competitive advantage in the digital advertising sphere. By promoting deeper engagement, prioritising first-party data strategies, maintaining adaptive approaches, and ensuring alignment with vendors, publishers can transform these partnerships into robust engines for growth. In Rees's assessment, those who delve deeper into their operations and relationships will realise the potential for sustained and impactful performance. The insights shared in this discussion serve not only to illuminate the intricate dynamics of digital advertising but also to emphasise the importance of collaboration in achieving lasting publisher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https://digiday.com/sponsored/how-publishers-drive-meaningful-performance-with-vendor-partnerships/</w:t>
        </w:r>
      </w:hyperlink>
      <w:r>
        <w:t xml:space="preserve"> - This article supports the importance of forging deeper partnerships with vendors to drive real performance, aligning goals, and understanding audience nuances for sustained success in digital advertising.</w:t>
      </w:r>
      <w:r/>
    </w:p>
    <w:p>
      <w:pPr>
        <w:pStyle w:val="ListNumber"/>
        <w:spacing w:line="240" w:lineRule="auto"/>
        <w:ind w:left="720"/>
      </w:pPr>
      <w:r/>
      <w:hyperlink r:id="rId11">
        <w:r>
          <w:rPr>
            <w:color w:val="0000EE"/>
            <w:u w:val="single"/>
          </w:rPr>
          <w:t>https://www.courts.michigan.gov/492eca/siteassets/publications/benchbooks/evidence/evidbb.pdf</w:t>
        </w:r>
      </w:hyperlink>
      <w:r>
        <w:t xml:space="preserve"> - Although not directly related to digital advertising, this source highlights the critical aspect of evidence and data analysis in making informed decisions, similar to how publishers must analyze consumer behavior and data.</w:t>
      </w:r>
      <w:r/>
    </w:p>
    <w:p>
      <w:pPr>
        <w:pStyle w:val="ListNumber"/>
        <w:spacing w:line="240" w:lineRule="auto"/>
        <w:ind w:left="720"/>
      </w:pPr>
      <w:r/>
      <w:hyperlink r:id="rId12">
        <w:r>
          <w:rPr>
            <w:color w:val="0000EE"/>
            <w:u w:val="single"/>
          </w:rPr>
          <w:t>https://www.yext.com/wp-content/uploads/sites/4/2021/06/Yext-Sunday-Times-Special-Report-V3.pdf</w:t>
        </w:r>
      </w:hyperlink>
      <w:r>
        <w:t xml:space="preserve"> - This report touches on the strategic importance of partnerships and long-term strategies in achieving business objectives, resonating with Rees's emphasis on collaboration.</w:t>
      </w:r>
      <w:r/>
    </w:p>
    <w:p>
      <w:pPr>
        <w:pStyle w:val="ListNumber"/>
        <w:spacing w:line="240" w:lineRule="auto"/>
        <w:ind w:left="720"/>
      </w:pPr>
      <w:r/>
      <w:hyperlink r:id="rId13">
        <w:r>
          <w:rPr>
            <w:color w:val="0000EE"/>
            <w:u w:val="single"/>
          </w:rPr>
          <w:t>https://www.mass.gov/guide-to-evidence/article-xi-miscellaneous</w:t>
        </w:r>
      </w:hyperlink>
      <w:r>
        <w:t xml:space="preserve"> - This guide discusses the importance of evidence and strategic planning in legal proceedings, which can be analogously applied to the strategic planning needed in digital advertising.</w:t>
      </w:r>
      <w:r/>
    </w:p>
    <w:p>
      <w:pPr>
        <w:pStyle w:val="ListNumber"/>
        <w:spacing w:line="240" w:lineRule="auto"/>
        <w:ind w:left="720"/>
      </w:pPr>
      <w:r/>
      <w:hyperlink r:id="rId14">
        <w:r>
          <w:rPr>
            <w:color w:val="0000EE"/>
            <w:u w:val="single"/>
          </w:rPr>
          <w:t>https://wunderkind-pr.com/clients.html</w:t>
        </w:r>
      </w:hyperlink>
      <w:r>
        <w:t xml:space="preserve"> - This page highlights Wunderkind's involvement in strategic communications and client partnerships, similar to how Rees emphasizes deep vendor relationships.</w:t>
      </w:r>
      <w:r/>
    </w:p>
    <w:p>
      <w:pPr>
        <w:pStyle w:val="ListNumber"/>
        <w:spacing w:line="240" w:lineRule="auto"/>
        <w:ind w:left="720"/>
      </w:pPr>
      <w:r/>
      <w:hyperlink r:id="rId9">
        <w:r>
          <w:rPr>
            <w:color w:val="0000EE"/>
            <w:u w:val="single"/>
          </w:rPr>
          <w:t>https://www.noahwire.com</w:t>
        </w:r>
      </w:hyperlink>
      <w:r>
        <w:t xml:space="preserve"> - This URL was mentioned as a source for the article, though specific content validation wasn't possible through this link alone.</w:t>
      </w:r>
      <w:r/>
    </w:p>
    <w:p>
      <w:pPr>
        <w:pStyle w:val="ListNumber"/>
        <w:spacing w:line="240" w:lineRule="auto"/>
        <w:ind w:left="720"/>
      </w:pPr>
      <w:r/>
      <w:hyperlink r:id="rId15">
        <w:r>
          <w:rPr>
            <w:color w:val="0000EE"/>
            <w:u w:val="single"/>
          </w:rPr>
          <w:t>https://digiday.com/sponsored/how-publishers-drive-meaningful-performance-with-vendor-partnerships/?utm_campaign=digidaydis&amp;utm_medium=rss&amp;utm_source=general-rss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day.com/sponsored/how-publishers-drive-meaningful-performance-with-vendor-partnerships/" TargetMode="External"/><Relationship Id="rId11" Type="http://schemas.openxmlformats.org/officeDocument/2006/relationships/hyperlink" Target="https://www.courts.michigan.gov/492eca/siteassets/publications/benchbooks/evidence/evidbb.pdf" TargetMode="External"/><Relationship Id="rId12" Type="http://schemas.openxmlformats.org/officeDocument/2006/relationships/hyperlink" Target="https://www.yext.com/wp-content/uploads/sites/4/2021/06/Yext-Sunday-Times-Special-Report-V3.pdf"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wunderkind-pr.com/clients.html" TargetMode="External"/><Relationship Id="rId15" Type="http://schemas.openxmlformats.org/officeDocument/2006/relationships/hyperlink" Target="https://digiday.com/sponsored/how-publishers-drive-meaningful-performance-with-vendor-partnerships/?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