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 handshake transforms trust and efficiency in global trade through interoperable eBLs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traditional handshake, long synonymous with trust between trading partners, is giving way to a more robust and scalable alternative: the digital handshake. This transformation is not merely about reducing paperwork; it represents a significant evolution in embedding trust, transparency, and efficiency at the core of global commerce. Central to this shift is the concept of interoperability—the ability of disparate digital systems across the trade ecosystem to communicate, share, and validate data seamlessly.</w:t>
      </w:r>
      <w:r/>
    </w:p>
    <w:p>
      <w:r/>
      <w:r>
        <w:t>Interoperability forms the backbone of modern supply chains, enabling shipping lines, freight forwarders, customs authorities, importers, exporters, banks, and insurers to operate on a unified platform. This shared digital language fosters resilience, security, and transparency, essential as the international market grows increasingly complex.</w:t>
      </w:r>
      <w:r/>
    </w:p>
    <w:p>
      <w:r/>
      <w:r>
        <w:t>The impetus for greater interoperability was significantly heightened by the COVID-19 pandemic, which revealed the fragilities of existing, often paper-heavy processes. Delays in document exchanges and disrupted courier services underscored how inefficiencies in trade documentation could lead to far-reaching supply chain breakdowns. In response, industry alliances, regulatory bodies, and private-sector innovators have rallied around the development and adoption of interoperable systems, with particular focus on electronic bills of lading (eBLs).</w:t>
      </w:r>
      <w:r/>
    </w:p>
    <w:p>
      <w:r/>
      <w:r>
        <w:t>An eBL serves as the legal digital equivalent of its paper counterpart, maintaining its functions as a receipt for goods, document of title, and evidence of contract of carriage. Transitioning key trade documents to a digital format and ensuring their interoperable use is a foundational step in modernising global trade operations.</w:t>
      </w:r>
      <w:r/>
    </w:p>
    <w:p>
      <w:r/>
      <w:r>
        <w:t>Recent developments in interoperability are promising. Notably, a groundbreaking transaction between OOCL and a major oil and gas company marked a first for container shipping, where an eBL was issued using IQAX and DCSA standards, flawlessly transferred on ICE CargoDocs, and secured by GSBN. Such milestones illustrate the real-world impact of interoperability—culminating in the successful completion of multiple transactions that adhere to technical, legal, and compliance standards.</w:t>
      </w:r>
      <w:r/>
    </w:p>
    <w:p>
      <w:r/>
      <w:r>
        <w:t>The ability of diverse digital platforms to communicate effectively hinges on adherence to industry-wide frameworks encompassing document structure, verification protocols, user identity standards, and legal recognisability across jurisdictions. This level of connectivity allows for seamless transactions, accelerating the processing time for cargo and engendering a transparent audit trail for all document changes and transfers—crucial in establishing legal confidence in the digital realm.</w:t>
      </w:r>
      <w:r/>
    </w:p>
    <w:p>
      <w:r/>
      <w:r>
        <w:t>The tangible benefits of these interoperable systems are already becoming apparent. Digital documentation significantly speeds up the release of cargo by ensuring that crucial documents are available ahead of time, which in turn minimises customs clearance delays. Additionally, the robustness of digital records dramatically reduces fraudulent activity, while faster document exchanges lead to improved working capital for businesses. By cutting down on administrative costs through the removal of physical documentation—and its associated courier fees—stakeholders are experiencing substantial savings per shipment.</w:t>
      </w:r>
      <w:r/>
    </w:p>
    <w:p>
      <w:r/>
      <w:r>
        <w:t>Perhaps the most transformative aspect is how these advancements collectively rebuild trust in global trade. As each entity within the ecosystem—from shippers to banks—can access and verify secured documents in real time, the reliance on manual checks and email verifications diminishes. This digital handshake creates a shared reality, offering a verified source of documentation respected across platforms.</w:t>
      </w:r>
      <w:r/>
    </w:p>
    <w:p>
      <w:r/>
      <w:r>
        <w:t>For small and medium enterprises (SMEs), which traditionally face barriers due to a lack of digital sophistication, these interoperable systems lower the entry threshold, allowing even the smallest players to engage fully in the digital trade ecosystem.</w:t>
      </w:r>
      <w:r/>
    </w:p>
    <w:p>
      <w:r/>
      <w:r>
        <w:t>Despite these advancements, challenges remain. Legal acceptance of electronic documents varies widely, with many jurisdictions yet to recognise eBLs on par with paper documents. Moreover, the industry must focus on raising awareness and providing training to ensure that smaller players can successfully navigate the transition to digital systems. Competition among various platforms also poses a risk of vendor lock-in, prompting a need for open standards and collaborative approaches across the industry.</w:t>
      </w:r>
      <w:r/>
    </w:p>
    <w:p>
      <w:r/>
      <w:r>
        <w:t>The journey towards widespread interoperability in trade documentation is gaining momentum. Legal reforms and cross-platform collaborations demonstrate that executing global trade entirely via digital channels is not only feasible but also profitable. As more governments embrace electronic trade legislation and stakeholders adopt data standards, the digital handshake can evolve from a mere metaphor into an essential framework for efficient and trustworthy trade practices.</w:t>
      </w:r>
      <w:r/>
    </w:p>
    <w:p>
      <w:r/>
      <w:r>
        <w:t>In summary, the paradigm shift represented by the digital handshake encapsulates a defining moment in how trust is cultivated in global commerce. Through interoperability, the shipping sector is bridging the divide between digital innovation and practical logistics. While challenges persist, the groundwork has been established. With every successful interoperable eBL transaction, confidence in this digital framework strengthens, signalling a robust future where trust is not merely printed but digitally verified and secured across a global network.</w:t>
      </w:r>
      <w:r/>
    </w:p>
    <w:p>
      <w:pPr>
        <w:pBdr>
          <w:bottom w:val="single" w:sz="6" w:space="1" w:color="auto"/>
        </w:pBdr>
      </w:pPr>
      <w:r/>
    </w:p>
    <w:p>
      <w:pPr>
        <w:pStyle w:val="Heading3"/>
      </w:pPr>
      <w:r>
        <w:t>Reference Map</w:t>
      </w:r>
      <w:r/>
      <w:r/>
    </w:p>
    <w:p>
      <w:pPr>
        <w:pStyle w:val="ListNumber"/>
        <w:numPr>
          <w:ilvl w:val="0"/>
          <w:numId w:val="14"/>
        </w:numPr>
        <w:spacing w:line="240" w:lineRule="auto"/>
        <w:ind w:left="720"/>
      </w:pPr>
      <w:r/>
      <w:hyperlink r:id="rId9">
        <w:r>
          <w:rPr>
            <w:color w:val="0000EE"/>
            <w:u w:val="single"/>
          </w:rPr>
          <w:t>[1]</w:t>
        </w:r>
      </w:hyperlink>
      <w:r/>
    </w:p>
    <w:p>
      <w:pPr>
        <w:pStyle w:val="ListNumber"/>
        <w:spacing w:line="240" w:lineRule="auto"/>
        <w:ind w:left="720"/>
      </w:pPr>
      <w:r/>
      <w:hyperlink r:id="rId10">
        <w:r>
          <w:rPr>
            <w:color w:val="0000EE"/>
            <w:u w:val="single"/>
          </w:rPr>
          <w:t>[2]</w:t>
        </w:r>
      </w:hyperlink>
      <w:r/>
    </w:p>
    <w:p>
      <w:pPr>
        <w:pStyle w:val="ListNumber"/>
        <w:spacing w:line="240" w:lineRule="auto"/>
        <w:ind w:left="720"/>
      </w:pPr>
      <w:r/>
      <w:hyperlink r:id="rId11">
        <w:r>
          <w:rPr>
            <w:color w:val="0000EE"/>
            <w:u w:val="single"/>
          </w:rPr>
          <w:t>[3]</w:t>
        </w:r>
      </w:hyperlink>
      <w:r/>
    </w:p>
    <w:p>
      <w:pPr>
        <w:pStyle w:val="ListNumber"/>
        <w:spacing w:line="240" w:lineRule="auto"/>
        <w:ind w:left="720"/>
      </w:pPr>
      <w:r/>
      <w:hyperlink r:id="rId12">
        <w:r>
          <w:rPr>
            <w:color w:val="0000EE"/>
            <w:u w:val="single"/>
          </w:rPr>
          <w:t>[4]</w:t>
        </w:r>
      </w:hyperlink>
      <w:r/>
    </w:p>
    <w:p>
      <w:pPr>
        <w:pStyle w:val="ListNumber"/>
        <w:spacing w:line="240" w:lineRule="auto"/>
        <w:ind w:left="720"/>
      </w:pPr>
      <w:r/>
      <w:hyperlink r:id="rId13">
        <w:r>
          <w:rPr>
            <w:color w:val="0000EE"/>
            <w:u w:val="single"/>
          </w:rPr>
          <w:t>[5]</w:t>
        </w:r>
      </w:hyperlink>
      <w:r/>
    </w:p>
    <w:p>
      <w:pPr>
        <w:pStyle w:val="ListNumber"/>
        <w:spacing w:line="240" w:lineRule="auto"/>
        <w:ind w:left="720"/>
      </w:pPr>
      <w:r/>
      <w:hyperlink r:id="rId14">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https://www.shippingandfreightresource.com/digital-handshake-through-interoperability/</w:t>
        </w:r>
      </w:hyperlink>
      <w:r>
        <w:t xml:space="preserve"> - Please view link - unable to able to access data</w:t>
      </w:r>
      <w:r/>
    </w:p>
    <w:p>
      <w:pPr>
        <w:pStyle w:val="ListNumber"/>
        <w:spacing w:line="240" w:lineRule="auto"/>
        <w:ind w:left="720"/>
      </w:pPr>
      <w:r/>
      <w:hyperlink r:id="rId10">
        <w:r>
          <w:rPr>
            <w:color w:val="0000EE"/>
            <w:u w:val="single"/>
          </w:rPr>
          <w:t>https://www.swift.com/news-events/news/swift-enables-global-trade-interoperability-successful-trials</w:t>
        </w:r>
      </w:hyperlink>
      <w:r>
        <w:t xml:space="preserve"> - In collaboration with BNY Mellon, Deutsche Bank, and four electronic Bills of Lading (eBL) platforms, SWIFT has successfully tested an interoperability solution aimed at digitizing trade documents. This initiative seeks to reduce costs, improve transparency, and mitigate fraud in global trade. The adoption of eBLs is projected to save the industry $6.5 billion annually and facilitate $40 billion in global trade by 2030. However, as of 2022, only 2.1% of bills of lading in the container trade were electronic, highlighting the need for broader adoption. The solution developed by SWIFT enables financial institutions to exchange eBLs across multiple trade platforms using existing SWIFT connectivity, eliminating the need for multiple point-to-point integrations. This approach offers high security, legal, and compliance standards, potentially improving efficiency, reducing costs, and decreasing the risk of fraud. The initiative is part of SWIFT's broader efforts to enable interoperability in global trade, including interlinking central bank digital currencies (CBDCs).</w:t>
      </w:r>
      <w:r/>
    </w:p>
    <w:p>
      <w:pPr>
        <w:pStyle w:val="ListNumber"/>
        <w:spacing w:line="240" w:lineRule="auto"/>
        <w:ind w:left="720"/>
      </w:pPr>
      <w:r/>
      <w:hyperlink r:id="rId11">
        <w:r>
          <w:rPr>
            <w:color w:val="0000EE"/>
            <w:u w:val="single"/>
          </w:rPr>
          <w:t>https://www.imda.gov.sg/resources/press-releases-factsheets-and-speeches/press-releases/2023/sg-india-interoperable-electronic-bills-of-lading</w:t>
        </w:r>
      </w:hyperlink>
      <w:r>
        <w:t xml:space="preserve"> - Singapore and Indian banks and companies have successfully conducted the first live transaction using the TradeTrust Framework for a shipment between Singapore and Indian businesses. This marks a significant step towards digitalizing cross-border trade financing documentation, aiming to improve the speed, efficiency, and accuracy of information required in shipment transactions. The project was implemented in close partnership between government agencies and industry partners, including DBS, ICICI Bank, Maptrasco, Jindal Stainless, and A.P. Moller-Maersk. TradeTrust utilizes blockchain-powered technology to ensure the singularity and provenance of transactions, resulting in greater trust, security, and accuracy. It is based on international standards and is interoperable, allowing different systems to participate in the framework. Following this first shipment, businesses in Singapore and India interested in executing eBLs in Letter of Credit transactions can reach out to DBS and ICICI Bank. For other trade documents and scenarios, they can approach the Infocomm Media Development Authority (IMDA).</w:t>
      </w:r>
      <w:r/>
    </w:p>
    <w:p>
      <w:pPr>
        <w:pStyle w:val="ListNumber"/>
        <w:spacing w:line="240" w:lineRule="auto"/>
        <w:ind w:left="720"/>
      </w:pPr>
      <w:r/>
      <w:hyperlink r:id="rId12">
        <w:r>
          <w:rPr>
            <w:color w:val="0000EE"/>
            <w:u w:val="single"/>
          </w:rPr>
          <w:t>https://www.tradefinanceglobal.com/posts/swift-successfully-tests-electronic-bills-of-lading-interoperability-solution/</w:t>
        </w:r>
      </w:hyperlink>
      <w:r>
        <w:t xml:space="preserve"> - SWIFT, in collaboration with BNY Mellon, Deutsche Bank, and four electronic Bills of Lading (eBL) platforms, has successfully trialed an interoperability solution designed to facilitate the widespread adoption of electronic documents in trade. The digitization of global trade offers benefits such as cost reduction, enhanced transparency, fraud mitigation, and addressing the $2.5 trillion trade finance gap. Paper-based Bills of Lading, known for causing delays and inefficiencies, present a significant area for improvement. Electronic Bills of Lading (eBLs) offer advantages over their paper counterparts, including reduced risks of document loss and fraud, faster document transfer, and a smaller carbon footprint. McKinsey estimates that eBL adoption could result in a $6.5 billion annual saving for the industry and facilitate $40 billion in global trade by 2030. However, the current lack of technical interoperability between existing eBL platforms presents a significant obstacle to wholesale adoption. The nine eBL providers authorized by the International Group of Protection &amp; Indemnity Clubs (IGP&amp;I) each have their own rules and customer bases, meaning that customers of one eBL system cannot participate in transactions handled by another eBL system. This necessitates connections to multiple systems by financial institutions, corporates, and others involved in trade transactions, a process both inefficient and costly. SWIFT has responded to industry calls for interoperability among different eBL platforms, allowing users to interact using a single identity. Leveraging its extensive experience in global interoperability and recent initiatives like interlinking central bank digital currencies (CBDCs), SWIFT is well-positioned to address the eBL challenge. In 2022, SWIFT began collaborating with FIT Alliance and eBL platform providers to develop an API-based eBL interoperability model. This model would allow firms to use a single SWIFT connection to interact with trade transactions across various eBL platforms. Earlier in 2023, SWIFT conducted a Proof of Concept (PoC) to test this interoperability solution. The first phase involved collaboration with eBL platforms edoxOnline and CargoX, testing a universal API contract to establish a secure channel with SWIFT. This PoC was later expanded to include TradeGo, WaveBL, BNY Mellon, and Deutsche Bank. Participants successfully replicated the end-to-end eBL transfer process in a simulated trade transaction, demonstrating the potential for financial institutions to exchange eBLs across multiple trade platforms using existing SWIFT connectivity. This development suggests that a production-ready solution for eBL interoperability over SWIFT is within reach, though further collaborative efforts are required to address challenges in legal interoperability, technical accessibility, ecosystem-wide standards, and adoption. The PoC successfully demonstrated that financial institutions could exchange eBLs across multiple trade platforms using their existing SWIFT connectivity, instead of having to connect to each platform individually. By reusing their connection to SWIFT, institutions wouldn't need to develop custom point-to-point integrations with multiple, fragile, and complex dependencies. The solution would offer the high security, legal, and compliance standards that financial institutions require when managing transactions. As such, it has the potential to enable interoperability between participants, while improving efficiency, reducing costs, and reducing the risk of fraud. Shirish Wadivkar, Global Head, Wholesale Payments &amp; Trade Strategy at SWIFT, said, "Standards set with the industry – combined with global interoperability facilitated by SWIFT – can enable eBL providers and digital trade platforms to seamlessly interact with banks, corporates, and the wider trade ecosystem. Such industry-wide collaboration is essential to achieve a 'zero paper trade' future."</w:t>
      </w:r>
      <w:r/>
    </w:p>
    <w:p>
      <w:pPr>
        <w:pStyle w:val="ListNumber"/>
        <w:spacing w:line="240" w:lineRule="auto"/>
        <w:ind w:left="720"/>
      </w:pPr>
      <w:r/>
      <w:hyperlink r:id="rId13">
        <w:r>
          <w:rPr>
            <w:color w:val="0000EE"/>
            <w:u w:val="single"/>
          </w:rPr>
          <w:t>https://www.docusign.com/blog/digital-bill-of-lading-esignature</w:t>
        </w:r>
      </w:hyperlink>
      <w:r>
        <w:t xml:space="preserve"> - A Digital Bill of Lading (BoL) is an electronic version of the traditional paper BoL, serving as a receipt for goods, a document of title, and evidence of the contract of carriage in international shipping. The adoption of digital BoLs offers several benefits, including improved speed in sharing BoLs with shippers and receivers, enhanced security through digital encryption and multiple options for verifying a signer's identity, automatic creation of a digital audit trail providing visibility into the e-signature process, and assurance of a "best evidence" approach to e-signature BoLs, such as proof of cargo ownership and transfer of cargo title during shipping phases. Additionally, digital BoLs contribute to environmental sustainability by reducing the energy required to process and dispose of paper documents. The legal benefits include recognition of revenue at signing, aiding in proving or disproving ownership after cargo loss or theft, and assisting in proving insurance responsibility if cargo is damaged. The international trade industry has increased focus on the need to move towards greater adoption of digital BoLs. It was noted at the G7 Digital and Technology Ministers' meeting on 28 April 2021 that paper-based transactions are "a source of cost, delay, inefficiency, fraud, error and environmental impact." The secretary general of the ICC's UK chapter has urged players in the industry to be prepared for the widespread adoption of e-Bills within the next 12 to 18 months.</w:t>
      </w:r>
      <w:r/>
    </w:p>
    <w:p>
      <w:pPr>
        <w:pStyle w:val="ListNumber"/>
        <w:spacing w:line="240" w:lineRule="auto"/>
        <w:ind w:left="720"/>
      </w:pPr>
      <w:r/>
      <w:hyperlink r:id="rId14">
        <w:r>
          <w:rPr>
            <w:color w:val="0000EE"/>
            <w:u w:val="single"/>
          </w:rPr>
          <w:t>https://www.hapag-lloyd.com/en/online-business/digital-insights-dock/insights/2024/12/electronic-bills-of-lading-ebls-a-modern-solution-for-global-tra.html</w:t>
        </w:r>
      </w:hyperlink>
      <w:r>
        <w:t xml:space="preserve"> - Electronic Bills of Lading (eBLs) are digital versions of traditional paper Bills of Lading, offering several advantages over their paper counterparts. These include speed and accessibility, as eBLs are instantly generated, transferred, and accessible to all parties in real-time, eliminating delays and enabling quicker decision-making. They also reduce costs by eliminating printing and courier expenses, while automated processes reduce administrative labor and errors. Security is enhanced through secure digital platforms with advanced encryption and blockchain technology, preventing forgery and unauthorized access. eBLs also contribute to environmental sustainability by reducing the carbon footprint associated with paper processes. The adoption of eBLs is gaining momentum, with companies like Hapag-Lloyd committing to 100% adoption by 2030. This shift is expected to transform the customer experience, improve sustainability, and unlock significant cost savings for stakeholders.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hippingandfreightresource.com/digital-handshake-through-interoperability/" TargetMode="External"/><Relationship Id="rId10" Type="http://schemas.openxmlformats.org/officeDocument/2006/relationships/hyperlink" Target="https://www.swift.com/news-events/news/swift-enables-global-trade-interoperability-successful-trials" TargetMode="External"/><Relationship Id="rId11" Type="http://schemas.openxmlformats.org/officeDocument/2006/relationships/hyperlink" Target="https://www.imda.gov.sg/resources/press-releases-factsheets-and-speeches/press-releases/2023/sg-india-interoperable-electronic-bills-of-lading" TargetMode="External"/><Relationship Id="rId12" Type="http://schemas.openxmlformats.org/officeDocument/2006/relationships/hyperlink" Target="https://www.tradefinanceglobal.com/posts/swift-successfully-tests-electronic-bills-of-lading-interoperability-solution/" TargetMode="External"/><Relationship Id="rId13" Type="http://schemas.openxmlformats.org/officeDocument/2006/relationships/hyperlink" Target="https://www.docusign.com/blog/digital-bill-of-lading-esignature" TargetMode="External"/><Relationship Id="rId14" Type="http://schemas.openxmlformats.org/officeDocument/2006/relationships/hyperlink" Target="https://www.hapag-lloyd.com/en/online-business/digital-insights-dock/insights/2024/12/electronic-bills-of-lading-ebls-a-modern-solution-for-global-tra.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