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Hospitality sector faces rising prices amid supply chain and climate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characterised by fluctuating prices and complex market dynamics, the hospitality sector continues to navigate a series of persistent supply chain challenges, particularly as inflationary pressures start to nudge upwards. According to the latest findings from the CGA Prestige Foodservice Price Index, while overall year-on-year inflation remains relatively subdued, key commodities such as oils and fats are experiencing significant price hikes, with a notable increase of 5.8% compared to March 2024. This surge is indicative of broader market volatility, where the Sugar, Jams, Syrups, and Chocolate categories also report a 2.4% rise, partly fueled by the erratic fluctuations in cocoa pricing.</w:t>
      </w:r>
      <w:r/>
    </w:p>
    <w:p>
      <w:r/>
      <w:r>
        <w:t>The recent economic landscape reveals a deviation from typical seasonal price trends in the produce sector. Traditionally, one might expect prices to dip as the summer approaches; however, adverse weather conditions including heavy rainfall and flooding in Europe have led to increased prices for essential items like root vegetables, particularly onions. Such environmental factors highlight the interconnectedness of climate and market pricing, a concern echoed by many economists who point to the rising incidence of extreme weather events as a key driver behind escalating agricultural costs.</w:t>
      </w:r>
      <w:r/>
    </w:p>
    <w:p>
      <w:r/>
      <w:r>
        <w:t>In the dairy sector, the reverberations of last year's adverse weather continue to affect butter and cream production, leaving suppliers cautiously optimistic as they anticipate improved milk volumes in the second quarter of the year. While price reductions are not yet on the horizon, this glimpse of improved supply may offer some respite.</w:t>
      </w:r>
      <w:r/>
    </w:p>
    <w:p>
      <w:r/>
      <w:r>
        <w:t>Meat and poultry commodities face a somewhat precarious situation. The tightening of cattle supplies is projected to decrease UK beef production by 5% in 2025, contributing to rising prices just as demand peaks during the summer barbecue season. Furthermore, ongoing avian flu outbreaks in key production areas introduce significant volatility within the chicken market. Experts predict that while price increases may soon plateau, any subsequent decrease in prices is likely to be gradual. The ramifications of avian flu extend beyond chicken, as reduced flock sizes have similarly kept egg prices elevated.</w:t>
      </w:r>
      <w:r/>
    </w:p>
    <w:p>
      <w:r/>
      <w:r>
        <w:t>Shaun Allen, CEO of Prestige Purchasing, pointed out that despite a marginal improvement in food service pricing reported in March, the intricacies surrounding oils, fats, and protein production necessitate proactive supply chain management strategies. Allen stressed the importance of navigating these complexities for hospitality businesses aiming to protect their profit margins in the face of persistent pressures.</w:t>
      </w:r>
      <w:r/>
    </w:p>
    <w:p>
      <w:r/>
      <w:r>
        <w:t>Echoing these sentiments, Reuben Pullan, senior insight consultant at CGA by NIQ, commented that the slight uptick in March foodservice price inflation represents unwelcome news for hospitality operators already facing substantial financial strain. With labour costs set to increase from April, the mounting pressure on menu pricing could test the resilience of operators during the critical months ahead. While demand for hospitality services remains robust, the expectation is for a stabilisation of pricing conditions.</w:t>
      </w:r>
      <w:r/>
    </w:p>
    <w:p>
      <w:r/>
      <w:r>
        <w:t>This turbulent environment underscores the broader context of inflation affecting not only the UK but global markets as well. The Food and Agriculture Organization (FAO) noted that while global food commodity prices remained stable in March 2025, a substantial 6.9% increase compared to the same month in 2024 highlights ongoing pressures. Notably, vegetable oil prices soared by 3.7% due to strong import demand amidst improved crop outlooks in other commodity sectors like cereals, which experienced a roughly 2.6% decline.</w:t>
      </w:r>
      <w:r/>
    </w:p>
    <w:p>
      <w:r/>
      <w:r>
        <w:t xml:space="preserve">Moreover, the effects of climate change are being increasingly recognised as a crucial factor influencing food prices, complicating traditional monetary policy responses. Analysts are advocating for governmental measures, such as price controls and subsidies, to mitigate the economic repercussions, particularly within developing economies where food constitutes a significant portion of household expenditure. </w:t>
      </w:r>
      <w:r/>
    </w:p>
    <w:p>
      <w:r/>
      <w:r>
        <w:t>As the hospitality sector braces itself for what lies ahead, strategic foresight and adaptability will be essential. The intertwined complexities of weather disruptions, supply chain dynamics, and fluctuating prices demand a vigilant and innovative approach from businesses determined to maintain their viability in an ever-evolving market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4</w:t>
      </w:r>
      <w:r/>
    </w:p>
    <w:p>
      <w:pPr>
        <w:pStyle w:val="ListNumber"/>
        <w:spacing w:line="240" w:lineRule="auto"/>
        <w:ind w:left="720"/>
      </w:pPr>
      <w:r/>
      <w:r>
        <w:t>Paragraphs 5, 6</w:t>
      </w:r>
      <w:r/>
    </w:p>
    <w:p>
      <w:pPr>
        <w:pStyle w:val="ListNumber"/>
        <w:spacing w:line="240" w:lineRule="auto"/>
        <w:ind w:left="720"/>
      </w:pPr>
      <w:r/>
      <w:r>
        <w:t>Paragraphs 7,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 11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https://cgastrategy.com/hospitality-faces-more-supply-chain-headwinds-as-inflation-nudges-up-in-march/</w:t>
        </w:r>
      </w:hyperlink>
      <w:r>
        <w:t xml:space="preserve"> - Please view link - unable to able to access data</w:t>
      </w:r>
      <w:r/>
    </w:p>
    <w:p>
      <w:pPr>
        <w:pStyle w:val="ListNumber"/>
        <w:spacing w:line="240" w:lineRule="auto"/>
        <w:ind w:left="720"/>
      </w:pPr>
      <w:r/>
      <w:hyperlink r:id="rId11">
        <w:r>
          <w:rPr>
            <w:color w:val="0000EE"/>
            <w:u w:val="single"/>
          </w:rPr>
          <w:t>https://www.reuters.com/world/world-food-prices-steady-march-uns-fao-says-2025-04-04/</w:t>
        </w:r>
      </w:hyperlink>
      <w:r>
        <w:t xml:space="preserve"> - In March 2025, global food commodity prices remained largely stable, according to the United Nations' Food and Agriculture Organization (FAO). The FAO Food Price Index averaged 127.1, up slightly from February's 126.8. Although prices were 6.9% higher than in March 2024, they were still 20.7% below the March 2022 peak triggered by Russia's invasion of Ukraine. The rise in overall prices was driven by a 3.7% increase in vegetable oil prices, with palm, soy, rapeseed, and sunflower oils all seeing gains due to strong import demand; the vegetable oils index has jumped 23.9% year-on-year. In contrast, cereal prices declined 2.6%, with wheat, maize, and sorghum prices down due to improved crop outlooks, while barley prices slightly increased. Rice prices dropped 1.7% due to low import demand and ample supply. Average sugar prices dropped by 1.6%, driven by signs of weaker global demand. Rainfall in southern Brazil contributed to the decline, though losses were limited by concerns about overall prospects in Brazil and also India, FA ... . The meat price index rose 0 ... . World poultry meat prices remained largely stable ... . The dairy price index was unchanged from ... . In a separate cereal report, FA ... . For 2025, FAO ... .</w:t>
      </w:r>
      <w:r/>
    </w:p>
    <w:p>
      <w:pPr>
        <w:pStyle w:val="ListNumber"/>
        <w:spacing w:line="240" w:lineRule="auto"/>
        <w:ind w:left="720"/>
      </w:pPr>
      <w:r/>
      <w:hyperlink r:id="rId12">
        <w:r>
          <w:rPr>
            <w:color w:val="0000EE"/>
            <w:u w:val="single"/>
          </w:rPr>
          <w:t>https://www.ft.com/content/125e89c0-308a-492f-ae8e-6834847d1186</w:t>
        </w:r>
      </w:hyperlink>
      <w:r>
        <w:t xml:space="preserve"> - The article discusses the impact of climate change on global food prices and the rising concerns among central banks about sustained inflationary pressures. Agricultural yields are decreasing, and input costs are rising due to changing weather patterns, leading to historically high prices for commodities such as olives, wheat, palm oil, and coffee. Climate change is causing frequent extreme weather events, such as heatwaves, droughts, and floods, which further exacerbate the situation by damaging crops and increasing production costs. This persistent inflationary trend challenges traditional monetary policy approaches, which often exclude volatile food and energy prices from core inflation measures. The consequence is heightened inflation, particularly in developing economies where food constitutes a large share of household expenditure. The article calls for central banks and governments to reconsider their responses to food price shocks, possibly incorporating measures like price controls, subsidies, and stricter market regulations to mitigate the broader economic impact.</w:t>
      </w:r>
      <w:r/>
    </w:p>
    <w:p>
      <w:pPr>
        <w:pStyle w:val="ListNumber"/>
        <w:spacing w:line="240" w:lineRule="auto"/>
        <w:ind w:left="720"/>
      </w:pPr>
      <w:r/>
      <w:hyperlink r:id="rId13">
        <w:r>
          <w:rPr>
            <w:color w:val="0000EE"/>
            <w:u w:val="single"/>
          </w:rPr>
          <w:t>https://www.ft.com/content/427578a6-27dd-4cca-90e8-e290e21439f4</w:t>
        </w:r>
      </w:hyperlink>
      <w:r>
        <w:t xml:space="preserve"> - Eurozone inflation decreased to 2.4% in March, lower than economists' forecast of 2.5%, which has led to heightened expectations of an interest rate cut by the European Central Bank (ECB) by this summer. This fall, compared to 2.6% in February, was mainly due to smaller increases in food and goods prices. Despite the welcome slowdown in inflation, the ECB is expected to wait until June before making any rate cuts to further assess whether wage pressures are moderating. Core inflation, which excludes energy and food prices, fell to 2.9% in March from 3.1% in February. Additionally, the eurozone labor market remained strong with an unemployment rate at 6.5% in February. However, consumer prices rose month-on-month by 0.8% in March, an increase from February's 0.6%. Fresh food prices fell by 0.4%, and energy prices saw a slower decline at 1.8% in March.</w:t>
      </w:r>
      <w:r/>
    </w:p>
    <w:p>
      <w:pPr>
        <w:pStyle w:val="ListNumber"/>
        <w:spacing w:line="240" w:lineRule="auto"/>
        <w:ind w:left="720"/>
      </w:pPr>
      <w:r/>
      <w:hyperlink r:id="rId14">
        <w:r>
          <w:rPr>
            <w:color w:val="0000EE"/>
            <w:u w:val="single"/>
          </w:rPr>
          <w:t>https://www.insee.fr/en/statistiques/8181098</w:t>
        </w:r>
      </w:hyperlink>
      <w:r>
        <w:t xml:space="preserve"> - In March 2024, oil prices in euros continued to rise (+1.6% month-on-month after +5.4% in February), while the price of gas rebounded (+3.9% after -13.9%). Prices in euros for imported raw materials (excluding energy) ramped up slightly (+1.9% after +1.2%), driven by food commodities (+4.5% after +3.7%) and especially cocoa. Conversely, prices of industrial raw materials fell again (-1.4% after -1.9%). Among strategic materials for the industry, prices in euros for copper (+3.7% after +0.6%) and nickel (+6.1% after +2.4%) accelerated sharply, while those for palladium (+7.9% after -3.5%) and silver (+7.0% after -0.1%) strongly rebounded.</w:t>
      </w:r>
      <w:r/>
    </w:p>
    <w:p>
      <w:pPr>
        <w:pStyle w:val="ListNumber"/>
        <w:spacing w:line="240" w:lineRule="auto"/>
        <w:ind w:left="720"/>
      </w:pPr>
      <w:r/>
      <w:hyperlink r:id="rId15">
        <w:r>
          <w:rPr>
            <w:color w:val="0000EE"/>
            <w:u w:val="single"/>
          </w:rPr>
          <w:t>https://www.cso.ie/en/releasesandpublications/ep/p-api/agriculturalpriceindicesmarch2024/keyfindings/</w:t>
        </w:r>
      </w:hyperlink>
      <w:r>
        <w:t xml:space="preserve"> - In the 12 months to March 2024, the Agricultural Input Price Index dropped by 15.3%, while the Agricultural Output Price Index was down by 3.5% over the same period. The most significant Output price decreases in the 12 months to March 2024 were in cereals (-31.4%), industrial &amp; forage crops (-26.4%), pigs (-7.5%), and milk (-5.2%), while increases were recorded in potatoes (+73.6%), sheep (+30.2%), and vegetables (+12.8%). Over the 12 months to March 2024, there were significant reductions in the Input prices recorded for fertiliser (-39.9%), feed (-16.7%), and energy (-5.3%). The annual terms of trade was up by 14.0% when compared with March 2023.</w:t>
      </w:r>
      <w:r/>
    </w:p>
    <w:p>
      <w:pPr>
        <w:pStyle w:val="ListNumber"/>
        <w:spacing w:line="240" w:lineRule="auto"/>
        <w:ind w:left="720"/>
      </w:pPr>
      <w:r/>
      <w:hyperlink r:id="rId16">
        <w:r>
          <w:rPr>
            <w:color w:val="0000EE"/>
            <w:u w:val="single"/>
          </w:rPr>
          <w:t>https://ec.europa.eu/eurostat/web/products-eurostat-news/w/ddn-20250313-%202</w:t>
        </w:r>
      </w:hyperlink>
      <w:r>
        <w:t xml:space="preserve"> - Milk prices in the EU increased sharply (+15.3% on average) in the last quarter of 2024 compared with the same quarter of 2023. There were rises in 24 EU countries, the steepest rates being observed in Ireland (+43.7%), Lithuania (+33.2%), Belgium (+30.8%) and Sweden (+30.3%). Cereal prices changed slightly (+0.3% on average across the EU), but this reflected contrasting developments among countries. There were declines in 17 EU countries, with increases in the other 10 countries. The sharpest rate of increase was reported in Slovenia (+20.3%). Among the goods and services consumed in agriculture, there were sharp rates of decline in the prices of fertilisers and soil improvers (-6.9% on average in the EU) and feedingstuffs (-5.0%) in the last quarter of 2024, compared with the same quarter of 2023. Prices for fertilisers and soil improvers were lower in 23 EU countries, most notably in Slovakia (-20.3%) and Romania (-18.8%). Prices for feedingstuffs were lower in 25 EU countries, falling by up to -12.9% in Latvia, -12.6% in Cyprus and -12.4% in Slovakia.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gastrategy.com/hospitality-faces-more-supply-chain-headwinds-as-inflation-nudges-up-in-march/" TargetMode="External"/><Relationship Id="rId11" Type="http://schemas.openxmlformats.org/officeDocument/2006/relationships/hyperlink" Target="https://www.reuters.com/world/world-food-prices-steady-march-uns-fao-says-2025-04-04/" TargetMode="External"/><Relationship Id="rId12" Type="http://schemas.openxmlformats.org/officeDocument/2006/relationships/hyperlink" Target="https://www.ft.com/content/125e89c0-308a-492f-ae8e-6834847d1186" TargetMode="External"/><Relationship Id="rId13" Type="http://schemas.openxmlformats.org/officeDocument/2006/relationships/hyperlink" Target="https://www.ft.com/content/427578a6-27dd-4cca-90e8-e290e21439f4" TargetMode="External"/><Relationship Id="rId14" Type="http://schemas.openxmlformats.org/officeDocument/2006/relationships/hyperlink" Target="https://www.insee.fr/en/statistiques/8181098" TargetMode="External"/><Relationship Id="rId15" Type="http://schemas.openxmlformats.org/officeDocument/2006/relationships/hyperlink" Target="https://www.cso.ie/en/releasesandpublications/ep/p-api/agriculturalpriceindicesmarch2024/keyfindings/" TargetMode="External"/><Relationship Id="rId16" Type="http://schemas.openxmlformats.org/officeDocument/2006/relationships/hyperlink" Target="https://ec.europa.eu/eurostat/web/products-eurostat-news/w/ddn-20250313-%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