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tariff revival in 2025 stokes costs and supply chain shifts in FMCG and FMCD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trade landscape transforms in 2025, the re-emergence of Donald Trump’s tariff-driven trade strategies is sending shockwaves through industries dependent on international imports, with the Fast-Moving Consumer Goods (FMCG) and Fast-Moving Consumer Durables (FMCD) sectors bearing the brunt. The introduction of rigorous tariffs has presented fresh hurdles, influencing both cost structures and consumer behaviour across the market.</w:t>
      </w:r>
      <w:r/>
    </w:p>
    <w:p>
      <w:r/>
      <w:r>
        <w:t>Under Trump’s previous administration, the "America First" doctrine fundamentally shifted the U.S. trade approach, emphasising protectionism through substantial tariffs, particularly against Chinese imports. The aim was to stimulate domestic production and enhance job creation; however, these policies simultaneously generated significant barriers to global trade. Industry participants reliant on international supply chains now find themselves confronted by increased production costs, delayed shipments, and altered consumer dynamics.</w:t>
      </w:r>
      <w:r/>
    </w:p>
    <w:p>
      <w:r/>
      <w:r>
        <w:t>Recent analyses have highlighted the magnitude of Trump's renewed tariffs, with plans to impose tariffs of up to 60% on Chinese imports. Such measures threaten to inflate costs for FMCG companies — encompassing essential goods like food and toiletries — due to tariffs on raw materials and packaging sourced from nations like China, Vietnam, and Mexico. Similarly, FMCD companies, which often rely on complex global supply chains for crucial components, face escalating production costs due to import taxes on semiconductors and other electronic parts.</w:t>
      </w:r>
      <w:r/>
    </w:p>
    <w:p>
      <w:r/>
      <w:r>
        <w:t>For industry executives, the focal question is how to adapt to an environment where tariffs fundamentally reshape sourcing strategies, pricing models, and ultimately, consumer demand. The reintroduction of these tariffs raises immediate and long-term implications for supply chains, prompting businesses to reassess their operations. Notably, rising raw material costs induced by tariffs are already pushing some companies, such as Procter &amp; Gamble and Kraft Heinz, to consider shifting costs to consumers, risking a decrease in market share as observed with Kraft Heinz's previous decline.</w:t>
      </w:r>
      <w:r/>
    </w:p>
    <w:p>
      <w:r/>
      <w:r>
        <w:t>Walmart, as the largest importer of consumer goods in the U.S., announced impending price hikes due to the costs borne from enduring tariffs. The company is wary of how reduced purchasing power may influence consumer behaviour, especially following sustained economic pressures. Analyst predictions indicate that price increases are set to impact high-value goods significantly, further straining household budgets and engendering shifts in consumer spending patterns. A recent survey detailed consumers’ intentions to cut back on non-essential purchases as they grapple with rising prices across categories.</w:t>
      </w:r>
      <w:r/>
    </w:p>
    <w:p>
      <w:r/>
      <w:r>
        <w:t>As FMCG firms wrestle with these shifts, alternatives are emerging. Many companies are pivoting from high-tariff countries, seeking suppliers in regions such as India and Vietnam. Nestlé, for instance, has taken the bold step of pledging to absorb tariff increases rather than pass them on to consumers in hopes of capturing greater market share, despite anticipating a decline in its operating margin.</w:t>
      </w:r>
      <w:r/>
    </w:p>
    <w:p>
      <w:r/>
      <w:r>
        <w:t>Industry groups and policymakers have expressed concerns about the broader economic implications of these protectionist measures. While the Office of the U.S. Trade Representative acknowledges the challenges faced by domestic manufacturers, the ongoing rise in consumer prices poses a complex dilemma. Strategies aimed at bolstering domestic production must be balanced with the need to maintain robust international trade relationships.</w:t>
      </w:r>
      <w:r/>
    </w:p>
    <w:p>
      <w:r/>
      <w:r>
        <w:t>In light of these complexities, companies that can integrate innovative supply chain solutions and adaptive pricing strategies may find themselves better positioned for resilience in a fluctuating market. Enhanced data analytics and predictive modelling technologies are becoming essential tools for businesses seeking to navigate the uncertain terrain introduced by tariffs.</w:t>
      </w:r>
      <w:r/>
    </w:p>
    <w:p>
      <w:r/>
      <w:r>
        <w:t>Looking forward, the escalating costs associated with tariffs, coupled with evolving consumer preferences, will undoubtedly shape the direction of the FMCG and FMCD sectors. The long-standing question remains: as businesses strive to achieve growth while contending with the impacts of protectionist policies, will they prioritise profitability or consumer affordability?</w:t>
      </w:r>
      <w:r/>
    </w:p>
    <w:p>
      <w:r/>
      <w:r>
        <w:t>In conclusion, as we move into 2025, navigating the trade winds posed by Trump’s re-emerging tariff policies will require strategic foresight and agility. The balancing act between protecting domestic industries and fostering international trade will be critical in addressing long-term growth prospects while meeting the immediate needs of consumers adapting to an evolving pricing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rPr>
          <w:b/>
        </w:rPr>
        <w:t>Paragraph 1</w:t>
      </w:r>
      <w:r>
        <w:t xml:space="preserve">: 1 </w:t>
      </w:r>
      <w:r/>
    </w:p>
    <w:p>
      <w:pPr>
        <w:pStyle w:val="ListNumber"/>
        <w:spacing w:line="240" w:lineRule="auto"/>
        <w:ind w:left="720"/>
      </w:pPr>
      <w:r/>
      <w:r>
        <w:rPr>
          <w:b/>
        </w:rPr>
        <w:t>Paragraph 2</w:t>
      </w:r>
      <w:r>
        <w:t xml:space="preserve">: 1, 5 </w:t>
      </w:r>
      <w:r/>
    </w:p>
    <w:p>
      <w:pPr>
        <w:pStyle w:val="ListNumber"/>
        <w:spacing w:line="240" w:lineRule="auto"/>
        <w:ind w:left="720"/>
      </w:pPr>
      <w:r/>
      <w:r>
        <w:rPr>
          <w:b/>
        </w:rPr>
        <w:t>Paragraph 3</w:t>
      </w:r>
      <w:r>
        <w:t xml:space="preserve">: 1, 2 </w:t>
      </w:r>
      <w:r/>
    </w:p>
    <w:p>
      <w:pPr>
        <w:pStyle w:val="ListNumber"/>
        <w:spacing w:line="240" w:lineRule="auto"/>
        <w:ind w:left="720"/>
      </w:pPr>
      <w:r/>
      <w:r>
        <w:rPr>
          <w:b/>
        </w:rPr>
        <w:t>Paragraph 4</w:t>
      </w:r>
      <w:r>
        <w:t xml:space="preserve">: 3, 4 </w:t>
      </w:r>
      <w:r/>
    </w:p>
    <w:p>
      <w:pPr>
        <w:pStyle w:val="ListNumber"/>
        <w:spacing w:line="240" w:lineRule="auto"/>
        <w:ind w:left="720"/>
      </w:pPr>
      <w:r/>
      <w:r>
        <w:rPr>
          <w:b/>
        </w:rPr>
        <w:t>Paragraph 5</w:t>
      </w:r>
      <w:r>
        <w:t xml:space="preserve">: 2, 6 </w:t>
      </w:r>
      <w:r/>
    </w:p>
    <w:p>
      <w:pPr>
        <w:pStyle w:val="ListNumber"/>
        <w:spacing w:line="240" w:lineRule="auto"/>
        <w:ind w:left="720"/>
      </w:pPr>
      <w:r/>
      <w:r>
        <w:rPr>
          <w:b/>
        </w:rPr>
        <w:t>Paragraph 6</w:t>
      </w:r>
      <w:r>
        <w:t xml:space="preserve">: 2, 3 </w:t>
      </w:r>
      <w:r/>
    </w:p>
    <w:p>
      <w:pPr>
        <w:pStyle w:val="ListNumber"/>
        <w:spacing w:line="240" w:lineRule="auto"/>
        <w:ind w:left="720"/>
      </w:pPr>
      <w:r/>
      <w:r>
        <w:rPr>
          <w:b/>
        </w:rPr>
        <w:t>Paragraph 7</w:t>
      </w:r>
      <w:r>
        <w:t xml:space="preserve">: 4, 6 </w:t>
      </w:r>
      <w:r/>
    </w:p>
    <w:p>
      <w:pPr>
        <w:pStyle w:val="ListNumber"/>
        <w:spacing w:line="240" w:lineRule="auto"/>
        <w:ind w:left="720"/>
      </w:pPr>
      <w:r/>
      <w:r>
        <w:rPr>
          <w:b/>
        </w:rPr>
        <w:t>Paragraph 8</w:t>
      </w:r>
      <w:r>
        <w:t xml:space="preserve">: 4, 7 </w:t>
      </w:r>
      <w:r/>
    </w:p>
    <w:p>
      <w:pPr>
        <w:pStyle w:val="ListNumber"/>
        <w:spacing w:line="240" w:lineRule="auto"/>
        <w:ind w:left="720"/>
      </w:pPr>
      <w:r/>
      <w:r>
        <w:rPr>
          <w:b/>
        </w:rPr>
        <w:t>Paragraph 9</w:t>
      </w:r>
      <w:r>
        <w:t xml:space="preserve">: 4, 5 </w:t>
      </w:r>
      <w:r/>
    </w:p>
    <w:p>
      <w:pPr>
        <w:pStyle w:val="ListNumber"/>
        <w:spacing w:line="240" w:lineRule="auto"/>
        <w:ind w:left="720"/>
      </w:pPr>
      <w:r/>
      <w:r>
        <w:rPr>
          <w:b/>
        </w:rPr>
        <w:t>Paragraph 10</w:t>
      </w:r>
      <w:r>
        <w:t xml:space="preserve">: 1, 4 </w:t>
      </w:r>
      <w:r/>
    </w:p>
    <w:p>
      <w:pPr>
        <w:pStyle w:val="ListNumber"/>
        <w:spacing w:line="240" w:lineRule="auto"/>
        <w:ind w:left="720"/>
      </w:pPr>
      <w:r/>
      <w:r>
        <w:rPr>
          <w:b/>
        </w:rPr>
        <w:t>Paragraph 11</w:t>
      </w:r>
      <w:r>
        <w:t xml:space="preserve">: 1, 6 </w:t>
      </w:r>
      <w:r/>
    </w:p>
    <w:p>
      <w:pPr>
        <w:pStyle w:val="ListNumber"/>
        <w:spacing w:line="240" w:lineRule="auto"/>
        <w:ind w:left="720"/>
      </w:pPr>
      <w:r/>
      <w:r>
        <w:rPr>
          <w:b/>
        </w:rPr>
        <w:t>Paragraph 12</w:t>
      </w:r>
      <w:r>
        <w:t xml:space="preserve">: 6, 7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https://marketgenics.co/2025/05/the-shift-in-trade-policy-and-its-impacts-on-fmcg-and-fmcd-imports/</w:t>
        </w:r>
      </w:hyperlink>
      <w:r>
        <w:t xml:space="preserve"> - Please view link - unable to able to access data</w:t>
      </w:r>
      <w:r/>
    </w:p>
    <w:p>
      <w:pPr>
        <w:pStyle w:val="ListNumber"/>
        <w:spacing w:line="240" w:lineRule="auto"/>
        <w:ind w:left="720"/>
      </w:pPr>
      <w:r/>
      <w:hyperlink r:id="rId11">
        <w:r>
          <w:rPr>
            <w:color w:val="0000EE"/>
            <w:u w:val="single"/>
          </w:rPr>
          <w:t>https://www.reuters.com/breakingviews/nestl-bets-biggest-brand-giants-tariff-casino-2025-05-15/</w:t>
        </w:r>
      </w:hyperlink>
      <w:r>
        <w:t xml:space="preserve"> - In response to U.S. President Donald Trump's tariffs, major consumer goods companies are choosing between raising prices or absorbing increased costs. Procter &amp; Gamble, Colgate-Palmolive, and Kraft Heinz are opting to pass on costs to consumers, which is likely to impact sales and market share, as seen in Kraft Heinz's previous volume decline. In contrast, Nestlé is adopting a bold strategy by pledging not to raise prices, instead absorbing increased costs in hopes of gaining market share. Nestlé believes it can mitigate the tariffs’ impact due to localized production of 90% of its goods. However, this approach comes with risks: the company expects its operating margin to drop from 17% to 16% in 2025. Despite optimism from CEO Laurent Freixe and his commitment to top-line growth following previous performance declines, Nestlé's valuation has weakened, now trading at a lower multiple compared to peers. This gamble depends on investors valuing revenue growth and the belief that tariff effects will be short-lived. If Nestlé’s bet falters, further leadership disruption may ensue, though its rivals aren't guaranteed safety either amidst the challenging market dynamics.</w:t>
      </w:r>
      <w:r/>
    </w:p>
    <w:p>
      <w:pPr>
        <w:pStyle w:val="ListNumber"/>
        <w:spacing w:line="240" w:lineRule="auto"/>
        <w:ind w:left="720"/>
      </w:pPr>
      <w:r/>
      <w:hyperlink r:id="rId12">
        <w:r>
          <w:rPr>
            <w:color w:val="0000EE"/>
            <w:u w:val="single"/>
          </w:rPr>
          <w:t>https://www.reuters.com/business/retail-consumer/walmart-warns-higher-prices-withholds-second-quarter-profit-guidance-2025-05-15/</w:t>
        </w:r>
      </w:hyperlink>
      <w:r>
        <w:t xml:space="preserve"> - Walmart, the world's largest retailer, announced it will raise prices later in May 2025 due to the persistent impact of U.S. tariffs, particularly from the trade war between the U.S. and China. Executives acknowledge that the reduced tariffs, now at 30%, remain a heavy burden. As the largest U.S. importer of container goods, Walmart is especially vulnerable to such costs. CFO John David Rainey indicated price hikes will begin in late May or June, and Walmart may reduce orders in response to price elasticity. Although Walmart continues to work with suppliers to find cost-saving alternatives, certain imported food items remain difficult to substitute. Despite maintaining its annual fiscal forecasts, Walmart withheld Q2 profit projections due to ongoing uncertainty. Q1 net sales rose 2.5% to $165.6 billion with U.S. same-store sales up 4.5%. E-commerce sales saw significant gains—up 21% in the U.S. and 22% globally—with online operations reaching profitability for the first time. The company's leadership emphasized it cannot fully absorb tariff costs due to narrow margins but aims to minimize consumer impact on food prices. Walmart shares dropped over 4% following these announcements.</w:t>
      </w:r>
      <w:r/>
    </w:p>
    <w:p>
      <w:pPr>
        <w:pStyle w:val="ListNumber"/>
        <w:spacing w:line="240" w:lineRule="auto"/>
        <w:ind w:left="720"/>
      </w:pPr>
      <w:r/>
      <w:hyperlink r:id="rId13">
        <w:r>
          <w:rPr>
            <w:color w:val="0000EE"/>
            <w:u w:val="single"/>
          </w:rPr>
          <w:t>https://www.ft.com/content/438b9899-f430-4004-ab16-e11ef25f1f56</w:t>
        </w:r>
      </w:hyperlink>
      <w:r>
        <w:t xml:space="preserve"> - Following President Trump's April 2025 introduction of steep tariffs on imports, notably a 145% tariff on Chinese goods, major consumer goods companies like Procter &amp; Gamble, Nestlé, and Unilever anticipate raising prices. These increases add to consumer strain after three years of inflation and declining confidence, especially in the U.S., where shoppers face job uncertainty and potential recession. While some companies are attempting to pass costs to consumers, retailers and supermarkets are pushing back, warning that consumers are reaching their financial limits. Luxury brands such as Dior and Louis Vuitton have already increased prices, and household product producers signal similar intentions. At the same time, weakened U.S. demand is noticeable—as seen in WK Kellogg’s falling sales and Crocs’ withdrawal of financial guidance. Analysts predict price hikes may be geographically uneven, with redirected goods keeping prices stable in Europe. The EY consumer survey shows consumers plan to cut back on non-essential spending, such as snacks and alcohol, while maintaining purchases of essentials. As trade negotiations continue, economic experts suggest multinational companies may selectively distribute price increases based on elasticity of demand.</w:t>
      </w:r>
      <w:r/>
    </w:p>
    <w:p>
      <w:pPr>
        <w:pStyle w:val="ListNumber"/>
        <w:spacing w:line="240" w:lineRule="auto"/>
        <w:ind w:left="720"/>
      </w:pPr>
      <w:r/>
      <w:hyperlink r:id="rId14">
        <w:r>
          <w:rPr>
            <w:color w:val="0000EE"/>
            <w:u w:val="single"/>
          </w:rPr>
          <w:t>https://www.reuters.com/world/us/how-trumps-second-administration-affects-business-musk-tariffs-more-2024-11-06/</w:t>
        </w:r>
      </w:hyperlink>
      <w:r>
        <w:t xml:space="preserve"> - Donald Trump's second term as U.S. president, following his November 5th election victory, may significantly influence American business. Key aspects include appointing Tesla CEO Elon Musk to run a new government efficiency commission, potentially reducing the federal budget by $2 trillion. Musk's impact could extend to reduced regulatory oversight for his companies, such as Tesla and SpaceX. Trump plans to impose tariffs, including a 10% tariff on all U.S. imports and 60% on Chinese products, likely raising consumer prices, reducing GDP, and potentially costing jobs. Proposed tariffs on Mexico and impacts on various sectors, including retail, tech, and renewable energy, could shift production and increase costs. Trump's stance on oil, labor unions, finance, antitrust, media, and pharmaceuticals also points to significant changes, including lifting restrictions on oil production, altering labor union relations, deregulating finance and tech, clashing with media freedoms, and controversial vaccine policies possibly influenced by Robert F. Kennedy Jr. His administration promises a mix of deregulation, economic protectionism, and potential industry conflicts.</w:t>
      </w:r>
      <w:r/>
    </w:p>
    <w:p>
      <w:pPr>
        <w:pStyle w:val="ListNumber"/>
        <w:spacing w:line="240" w:lineRule="auto"/>
        <w:ind w:left="720"/>
      </w:pPr>
      <w:r/>
      <w:hyperlink r:id="rId15">
        <w:r>
          <w:rPr>
            <w:color w:val="0000EE"/>
            <w:u w:val="single"/>
          </w:rPr>
          <w:t>https://www.ft.com/content/b94b3995-7d03-4fd3-9c16-c076f7a1d89c</w:t>
        </w:r>
      </w:hyperlink>
      <w:r>
        <w:t xml:space="preserve"> - President Donald Trump's latest round of tariffs, which include a baseline levy of 10% and additional tariffs up to 50%, are poised to impact nearly every industry globally, exacerbating inflationary pressures and weak demand. US consumers are likely to bear the brunt as goods from Adidas shoes to Mexican beer become pricier. Southeast Asian countries—recent alternatives to Chinese manufacturing—face stiff penalties, impacting retailers and fashion brands. Pandora and H&amp;M, among others, reported significant losses in share value. Tariffs targeting alcohol will hit EU exporters and Mexican beer brands like Modelo and Corona, though USMCA-compliant products like tequila were spared. In the automotive sector, foreign automakers face a 25% tariff unless compliant with USMCA, potentially adding up to $20,000 to some imported vehicle costs. US brands like GM and Ford will also feel the squeeze due to supply chain dependencies. Luxury brands may pass costs to wealthy US consumers, but face broader risks from a potential economic downturn. Pharmaceuticals are currently exempt, though Trump hinted at future sector-specific tariffs. Aviation and logistics sectors forecast cost increases and disruptions, with associated firms already seeing stock declines. The removal of tax exemptions on small-value Chinese imports also poses challenges for e-commerce sectors.</w:t>
      </w:r>
      <w:r/>
    </w:p>
    <w:p>
      <w:pPr>
        <w:pStyle w:val="ListNumber"/>
        <w:spacing w:line="240" w:lineRule="auto"/>
        <w:ind w:left="720"/>
      </w:pPr>
      <w:r/>
      <w:hyperlink r:id="rId16">
        <w:r>
          <w:rPr>
            <w:color w:val="0000EE"/>
            <w:u w:val="single"/>
          </w:rPr>
          <w:t>https://www.kiplinger.com/taxes/tariffs-could-make-shopping-pricier</w:t>
        </w:r>
      </w:hyperlink>
      <w:r>
        <w:t xml:space="preserve"> - The Trump administration’s tariff policies are expected to significantly increase prices on consumer goods in 2025, significantly affecting American households. Tariffs on Chinese imports were recently reduced to 30% for 90 days, but still impact online retailers and small businesses. Major toy manufacturers like Mattel and Hasbro predict substantial price hikes due to these tariffs, with nearly 80% of U.S. toys sourced from China. Apparel, toys, furniture, footwear, appliances, and travel goods, though representing just 7% of total imports, could lead to household expenses rising by $362 to $624 annually. Toy prices may spike by up to 56%, reducing consumer purchases by more than half. Apparel and footwear costs could surge by 37.5–69.1% and 29%, respectively. Furniture and household appliances may see tariff-driven price increases of 19% to over 50%. The National Retail Federation warns that while the tariffs aim to boost domestic manufacturing, they will burden U.S. consumers—especially low-income households—and potentially shrink GDP by up to $50 billion. Overall, the tariffs are expected to hinder economic activity more than they help, impacting everyday purchases from toys to essential appliances.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genics.co/2025/05/the-shift-in-trade-policy-and-its-impacts-on-fmcg-and-fmcd-imports/" TargetMode="External"/><Relationship Id="rId11" Type="http://schemas.openxmlformats.org/officeDocument/2006/relationships/hyperlink" Target="https://www.reuters.com/breakingviews/nestl-bets-biggest-brand-giants-tariff-casino-2025-05-15/" TargetMode="External"/><Relationship Id="rId12" Type="http://schemas.openxmlformats.org/officeDocument/2006/relationships/hyperlink" Target="https://www.reuters.com/business/retail-consumer/walmart-warns-higher-prices-withholds-second-quarter-profit-guidance-2025-05-15/" TargetMode="External"/><Relationship Id="rId13" Type="http://schemas.openxmlformats.org/officeDocument/2006/relationships/hyperlink" Target="https://www.ft.com/content/438b9899-f430-4004-ab16-e11ef25f1f56" TargetMode="External"/><Relationship Id="rId14" Type="http://schemas.openxmlformats.org/officeDocument/2006/relationships/hyperlink" Target="https://www.reuters.com/world/us/how-trumps-second-administration-affects-business-musk-tariffs-more-2024-11-06/" TargetMode="External"/><Relationship Id="rId15" Type="http://schemas.openxmlformats.org/officeDocument/2006/relationships/hyperlink" Target="https://www.ft.com/content/b94b3995-7d03-4fd3-9c16-c076f7a1d89c" TargetMode="External"/><Relationship Id="rId16" Type="http://schemas.openxmlformats.org/officeDocument/2006/relationships/hyperlink" Target="https://www.kiplinger.com/taxes/tariffs-could-make-shopping-pric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