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Serge Mudogo’s Congo Supply tackles DRC mining supply chain gaps with local manufacturing and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2022, Serge Mudogo identified a significant gap in the Democratic Republic of Congo's (DRC) mining sector, particularly regarding the need for reliable and locally integrated procurement and outsourcing solutions. As a result, he founded Congo Supply &amp; All Services (CSS), which has since established itself as a leader in providing innovative supply chain solutions while focusing on socio-economic upliftment throughout the country.</w:t>
      </w:r>
      <w:r/>
    </w:p>
    <w:p>
      <w:r/>
      <w:r>
        <w:t>Mudogo articulates CSS's mission: “Our aim has been to address persistent supply chain inefficiencies and to offer mining operators a dependable partner focused on delivering essential goods and services, while also promoting local content and sustainable development.” The company has developed a comprehensive suite of services tailored to meet the operational demands of mining endeavours, including procurement of industrial equipment, logistics management, and local manufacturing of personal protective equipment (PPE).</w:t>
      </w:r>
      <w:r/>
    </w:p>
    <w:p>
      <w:r/>
      <w:r>
        <w:t>In an era where sustainable practices are increasingly paramount, CSS's commitment to local manufacturing is particularly noteworthy. The company has established a local PPE manufacturing operation that not only supplies high-quality workwear but also reduces dependence on imports. This initiative is a part of CSS’s broader strategy to enhance self-sufficiency within the DRC's mining sector.</w:t>
      </w:r>
      <w:r/>
    </w:p>
    <w:p>
      <w:r/>
      <w:r>
        <w:t>Innovation is at the core of CSS's operations. Mudogo emphasises the importance of advanced supply chain management systems to bolster transparency and efficiency. The company is also exploring alternative energy solutions for its logistics and production facilities, an endeavour that is essential for ensuring consistent service delivery in remote locations plagued by infrastructural limitations.</w:t>
      </w:r>
      <w:r/>
    </w:p>
    <w:p>
      <w:r/>
      <w:r>
        <w:t>One of the company's hallmark initiatives is the KENGE project, a collaboration with the Kibali Gold Mine, which operates as Africa's largest gold mine under Barrick Gold Corporation. Through this project, CSS has created a local industrial workwear manufacturing facility in Kokiza, where community members receive training in garment production. Mudogo notes, “The KENGE project has not only supplied workwear directly to Kibali and throughout the DRC but has also expanded to produce uniforms for local schools, stimulating economic growth and skills development.”</w:t>
      </w:r>
      <w:r/>
    </w:p>
    <w:p>
      <w:r/>
      <w:r>
        <w:t>The commitment to socio-economic empowerment is evident in CSS’s strategic initiatives that seek to uplift communities throughout the DRC. The company actively employs and trains local staff, integrates local small and medium enterprises (SMEs) into its supply chain, and promotes gender inclusivity—especially in its PPE manufacturing division. These efforts are bolstered by community development initiatives, including educational programmes and health awareness campaigns.</w:t>
      </w:r>
      <w:r/>
    </w:p>
    <w:p>
      <w:r/>
      <w:r>
        <w:t xml:space="preserve">While competition within the procurement sector is fierce, Mudogo emphasises that CSS distinguishes itself through its dedication to localised service excellence. “We see ourselves not only as suppliers but as strategic partners invested in our clients’ success,” he asserts. This approach reflects a growing trend among mining companies to align their operational practices with local empowerment strategies. </w:t>
      </w:r>
      <w:r/>
    </w:p>
    <w:p>
      <w:r/>
      <w:r>
        <w:t>The energy surrounding CSS is palpable, especially as the company showcased its products at the DRC Mining Week 2024, which signifies its ambition to expand beyond its current footprint, aiming particularly for the Katanga region. Visitors noted CSS’s impressive capability to produce 150 shirts per day, an example of how local production can be scaled to meet both national and international demands.</w:t>
      </w:r>
      <w:r/>
    </w:p>
    <w:p>
      <w:r/>
      <w:r>
        <w:t>As CSS looks to the future, its leadership in fostering localised procurement solutions aligns with broader industry goals for sustainable development and social responsibility. Such initiatives are not just vital from a business perspective but also play a crucial role in strengthening the local economy, crafting a resilient mining sector in the DRC.</w:t>
      </w:r>
      <w:r/>
    </w:p>
    <w:p>
      <w:r/>
      <w:r>
        <w:t>In conclusion, Congo Supply &amp; All Services represents a promising model of how mining companies can leverage local partnerships to meet operational needs while fostering community development. With its innovative solutions and commitment to socio-economic empowerment, CSS exemplifies the potential for industry players to contribute positively to the countries in which they operate.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r/>
    </w:p>
    <w:p>
      <w:pPr>
        <w:pStyle w:val="ListNumber"/>
        <w:spacing w:line="240" w:lineRule="auto"/>
        <w:ind w:left="720"/>
      </w:pPr>
      <w:r/>
      <w:r>
        <w:t xml:space="preserve">Paragraph 2: </w:t>
      </w:r>
      <w:hyperlink r:id="rId9">
        <w:r>
          <w:rPr>
            <w:color w:val="0000EE"/>
            <w:u w:val="single"/>
          </w:rPr>
          <w:t>[1]</w:t>
        </w:r>
      </w:hyperlink>
      <w:r>
        <w:t xml:space="preserve"> </w:t>
      </w:r>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r/>
    </w:p>
    <w:p>
      <w:pPr>
        <w:pStyle w:val="ListNumber"/>
        <w:spacing w:line="240" w:lineRule="auto"/>
        <w:ind w:left="720"/>
      </w:pPr>
      <w:r/>
      <w:r>
        <w:t xml:space="preserve">Paragraph 4: </w:t>
      </w:r>
      <w:hyperlink r:id="rId9">
        <w:r>
          <w:rPr>
            <w:color w:val="0000EE"/>
            <w:u w:val="single"/>
          </w:rPr>
          <w:t>[1]</w:t>
        </w:r>
      </w:hyperlink>
      <w:r>
        <w:t xml:space="preserve"> </w:t>
      </w:r>
      <w:r/>
    </w:p>
    <w:p>
      <w:pPr>
        <w:pStyle w:val="ListNumber"/>
        <w:spacing w:line="240" w:lineRule="auto"/>
        <w:ind w:left="720"/>
      </w:pPr>
      <w:r/>
      <w:r>
        <w:t xml:space="preserve">Paragraph 5: </w:t>
      </w:r>
      <w:hyperlink r:id="rId9">
        <w:r>
          <w:rPr>
            <w:color w:val="0000EE"/>
            <w:u w:val="single"/>
          </w:rPr>
          <w:t>[1]</w:t>
        </w:r>
      </w:hyperlink>
      <w:r>
        <w:t xml:space="preserve">, </w:t>
      </w:r>
      <w:hyperlink r:id="rId11">
        <w:r>
          <w:rPr>
            <w:color w:val="0000EE"/>
            <w:u w:val="single"/>
          </w:rPr>
          <w:t>[4]</w:t>
        </w:r>
      </w:hyperlink>
      <w:r>
        <w:t xml:space="preserve"> </w:t>
      </w:r>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7: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3">
        <w:r>
          <w:rPr>
            <w:color w:val="0000EE"/>
            <w:u w:val="single"/>
          </w:rPr>
          <w:t>[3]</w:t>
        </w:r>
      </w:hyperlink>
      <w:r>
        <w:t xml:space="preserve"> </w:t>
      </w:r>
      <w:r/>
    </w:p>
    <w:p>
      <w:pPr>
        <w:pStyle w:val="ListNumber"/>
        <w:spacing w:line="240" w:lineRule="auto"/>
        <w:ind w:left="720"/>
      </w:pPr>
      <w:r/>
      <w:r>
        <w:t xml:space="preserve">Paragraph 9: </w:t>
      </w:r>
      <w:hyperlink r:id="rId13">
        <w:r>
          <w:rPr>
            <w:color w:val="0000EE"/>
            <w:u w:val="single"/>
          </w:rPr>
          <w:t>[3]</w:t>
        </w:r>
      </w:hyperlink>
      <w:r>
        <w:t xml:space="preserve"> </w:t>
      </w:r>
      <w:r/>
    </w:p>
    <w:p>
      <w:pPr>
        <w:pStyle w:val="ListNumber"/>
        <w:spacing w:line="240" w:lineRule="auto"/>
        <w:ind w:left="720"/>
      </w:pPr>
      <w:r/>
      <w:r>
        <w:t xml:space="preserve">Paragraph 10: </w:t>
      </w:r>
      <w:hyperlink r:id="rId9">
        <w:r>
          <w:rPr>
            <w:color w:val="0000EE"/>
            <w:u w:val="single"/>
          </w:rPr>
          <w:t>[1]</w:t>
        </w:r>
      </w:hyperlink>
      <w:r>
        <w:t xml:space="preserve">, </w:t>
      </w:r>
      <w:hyperlink r:id="rId12">
        <w:r>
          <w:rPr>
            <w:color w:val="0000EE"/>
            <w:u w:val="single"/>
          </w:rPr>
          <w:t>[5]</w:t>
        </w:r>
      </w:hyperlink>
      <w:r>
        <w:t xml:space="preserve"> </w:t>
      </w:r>
      <w:r/>
    </w:p>
    <w:p>
      <w:pPr>
        <w:pStyle w:val="ListNumber"/>
        <w:spacing w:line="240" w:lineRule="auto"/>
        <w:ind w:left="720"/>
      </w:pPr>
      <w:r/>
      <w:r>
        <w:t xml:space="preserve">Paragraph 11: </w:t>
      </w:r>
      <w:hyperlink r:id="rId9">
        <w:r>
          <w:rPr>
            <w:color w:val="0000EE"/>
            <w:u w:val="single"/>
          </w:rPr>
          <w:t>[1]</w:t>
        </w:r>
      </w:hyperlink>
      <w:r>
        <w:t xml:space="preserve"> </w:t>
      </w:r>
      <w:r/>
    </w:p>
    <w:p>
      <w:pPr>
        <w:pStyle w:val="ListNumber"/>
        <w:spacing w:line="240" w:lineRule="auto"/>
        <w:ind w:left="720"/>
      </w:pPr>
      <w:r/>
      <w:r>
        <w:t xml:space="preserve">Paragraph 12: </w:t>
      </w:r>
      <w:hyperlink r:id="rId13">
        <w:r>
          <w:rPr>
            <w:color w:val="0000EE"/>
            <w:u w:val="single"/>
          </w:rPr>
          <w:t>[3]</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https://www.miningreview.com/magazine-article/congo-supply-all-services-providing-localised-solutions-to-the-drc/</w:t>
        </w:r>
      </w:hyperlink>
      <w:r>
        <w:t xml:space="preserve"> - Please view link - unable to able to access data</w:t>
      </w:r>
      <w:r/>
    </w:p>
    <w:p>
      <w:pPr>
        <w:pStyle w:val="ListNumber"/>
        <w:spacing w:line="240" w:lineRule="auto"/>
        <w:ind w:left="720"/>
      </w:pPr>
      <w:r/>
      <w:hyperlink r:id="rId10">
        <w:r>
          <w:rPr>
            <w:color w:val="0000EE"/>
            <w:u w:val="single"/>
          </w:rPr>
          <w:t>https://zoom-eco.net/a-la-une/drc-mining-week-2024-congo-supply-a-la-conquete-des-marches-pour-ses-equipements-de-protection-individuelle/</w:t>
        </w:r>
      </w:hyperlink>
      <w:r>
        <w:t xml:space="preserve"> - Congo Supply &amp; All Services (CSS) showcased its products at the DRC Mining Week 2024, aiming to expand into the Katanga region. The company, a leader in subcontracting in Haut-Uélé province, specializes in supplying personal protective equipment (PPE) and other products to ensure health and safety on mining sites. CSS collaborates with various industries, including mining, manufacturing, agriculture, construction, and hospitality. Their services include on-site stores, PPE distribution across Africa, monitoring individual PPE usage, and providing tailored solutions to client challenges. The company has expanded its production capacity to 150 shirts per day and aims to extend its reach nationwide and internationally. (</w:t>
      </w:r>
      <w:hyperlink r:id="rId15">
        <w:r>
          <w:rPr>
            <w:color w:val="0000EE"/>
            <w:u w:val="single"/>
          </w:rPr>
          <w:t>zoom-eco.net</w:t>
        </w:r>
      </w:hyperlink>
      <w:r>
        <w:t>)</w:t>
      </w:r>
      <w:r/>
    </w:p>
    <w:p>
      <w:pPr>
        <w:pStyle w:val="ListNumber"/>
        <w:spacing w:line="240" w:lineRule="auto"/>
        <w:ind w:left="720"/>
      </w:pPr>
      <w:r/>
      <w:hyperlink r:id="rId13">
        <w:r>
          <w:rPr>
            <w:color w:val="0000EE"/>
            <w:u w:val="single"/>
          </w:rPr>
          <w:t>https://wearevuka.com/sponsor/congo-supply-all-services/</w:t>
        </w:r>
      </w:hyperlink>
      <w:r>
        <w:t xml:space="preserve"> - Congo Supply &amp; Services (CSS) is a sponsor at the DRC Mining Week 2025, offering world-class equipment ranging from personal protective equipment to corporate ranges. CSS excels in providing customized procurement outsourcing solutions tailored to clients' unique operations and needs, ensuring timely fulfillment. Their specialized logistics division offers tailored distribution solutions, prioritizing efficiency and reliability, with expertise in handling various cargo types and a commitment to seamless logistics. Their end-to-end services ensure prompt and intact delivery, reflecting their dedication to excellence and client satisfaction. (</w:t>
      </w:r>
      <w:hyperlink r:id="rId16">
        <w:r>
          <w:rPr>
            <w:color w:val="0000EE"/>
            <w:u w:val="single"/>
          </w:rPr>
          <w:t>wearevuka.com</w:t>
        </w:r>
      </w:hyperlink>
      <w:r>
        <w:t>)</w:t>
      </w:r>
      <w:r/>
    </w:p>
    <w:p>
      <w:pPr>
        <w:pStyle w:val="ListNumber"/>
        <w:spacing w:line="240" w:lineRule="auto"/>
        <w:ind w:left="720"/>
      </w:pPr>
      <w:r/>
      <w:hyperlink r:id="rId11">
        <w:r>
          <w:rPr>
            <w:color w:val="0000EE"/>
            <w:u w:val="single"/>
          </w:rPr>
          <w:t>https://en.wikipedia.org/wiki/Kibali_Gold_Mine</w:t>
        </w:r>
      </w:hyperlink>
      <w:r>
        <w:t xml:space="preserve"> - The Kibali Gold Mine is a combined open pit and underground gold mine in the Haut-Uélé province of the northeast Democratic Republic of the Congo. By area, it is one of the largest in Africa. The mine is named for the nearby Kibali River. As of December 2018, proven and probable gold reserves were about 8.3 million ounces. In 2019, the mine produced 814,000 ounces of gold, higher than the projected level of 600,000 ounces per year for the first twelve years of operation. (</w:t>
      </w:r>
      <w:hyperlink r:id="rId17">
        <w:r>
          <w:rPr>
            <w:color w:val="0000EE"/>
            <w:u w:val="single"/>
          </w:rPr>
          <w:t>en.wikipedia.org</w:t>
        </w:r>
      </w:hyperlink>
      <w:r>
        <w:t>)</w:t>
      </w:r>
      <w:r/>
    </w:p>
    <w:p>
      <w:pPr>
        <w:pStyle w:val="ListNumber"/>
        <w:spacing w:line="240" w:lineRule="auto"/>
        <w:ind w:left="720"/>
      </w:pPr>
      <w:r/>
      <w:hyperlink r:id="rId12">
        <w:r>
          <w:rPr>
            <w:color w:val="0000EE"/>
            <w:u w:val="single"/>
          </w:rPr>
          <w:t>https://www.barrick.com/English/news/news-details/2024/kibali-and-DRC-partner-to-promote-local-content/default.aspx</w:t>
        </w:r>
      </w:hyperlink>
      <w:r>
        <w:t xml:space="preserve"> - Kibali Gold Mine and the Autorité de Régulation de la Sous-Traitance dans le Secteur Privé (ARSP) have agreed to collaborate on a range of local content initiatives. The partnership aims to increase the mine’s use of Congolese contractors and suppliers, aligning with Barrick’s global policy of supporting local businesses and employing host country nationals. Since 2009, Kibali has spent more than $2.6 billion with local suppliers, and 95% of its more than 6,500 employees are Congolese, including the general manager. (</w:t>
      </w:r>
      <w:hyperlink r:id="rId18">
        <w:r>
          <w:rPr>
            <w:color w:val="0000EE"/>
            <w:u w:val="single"/>
          </w:rPr>
          <w:t>barrick.com</w:t>
        </w:r>
      </w:hyperlink>
      <w:r>
        <w:t>)</w:t>
      </w:r>
      <w:r/>
    </w:p>
    <w:p>
      <w:pPr>
        <w:pStyle w:val="ListNumber"/>
        <w:spacing w:line="240" w:lineRule="auto"/>
        <w:ind w:left="720"/>
      </w:pPr>
      <w:r/>
      <w:hyperlink r:id="rId19">
        <w:r>
          <w:rPr>
            <w:color w:val="0000EE"/>
            <w:u w:val="single"/>
          </w:rPr>
          <w:t>https://www.africanminingnews.co.za/mining-engineering-services-part-of-the-drcs-growth-story/</w:t>
        </w:r>
      </w:hyperlink>
      <w:r>
        <w:t xml:space="preserve"> - Mining Engineering Services (MES) is a large business conglomerate in the DRC and is part of the Vinmart Group, which has a presence across multiple countries. MES has been part of Congo’s growth story since 2010, providing solutions like design, engineering, procurement, plant erection and commissioning, power sector solutions, manpower services, maintenance and spares services, equipment rental, and manufacturing of HDPE pipes, cathodes and anode plates, lead ingots, electrical wires and cables. They are also involved in recycling plants for copper and lead scraps, batteries, and used oil. (</w:t>
      </w:r>
      <w:hyperlink r:id="rId20">
        <w:r>
          <w:rPr>
            <w:color w:val="0000EE"/>
            <w:u w:val="single"/>
          </w:rPr>
          <w:t>congo-nouveau.org</w:t>
        </w:r>
      </w:hyperlink>
      <w:r>
        <w:t>)</w:t>
      </w:r>
      <w:r/>
    </w:p>
    <w:p>
      <w:pPr>
        <w:pStyle w:val="ListNumber"/>
        <w:spacing w:line="240" w:lineRule="auto"/>
        <w:ind w:left="720"/>
      </w:pPr>
      <w:r/>
      <w:hyperlink r:id="rId21">
        <w:r>
          <w:rPr>
            <w:color w:val="0000EE"/>
            <w:u w:val="single"/>
          </w:rPr>
          <w:t>https://ipisresearch.be/project/understanding-artisanal-mining-supply-chains-and-conflict-financing-in-drc/</w:t>
        </w:r>
      </w:hyperlink>
      <w:r>
        <w:t xml:space="preserve"> - Since 2021, the International Peace Information Service (IPIS), in partnership with USAID and the Congolese Ministry of Mines, has been undertaking a large-scale project to map and analyze artisanal mining supply chains in eastern DRC. The project aims to understand the dynamics of artisanal mining and its links to conflict financing in the region. IPIS has conducted feedback sessions to share the results of the data collected in various areas, including Walungu, South Kivu, and Shabunda. (</w:t>
      </w:r>
      <w:hyperlink r:id="rId22">
        <w:r>
          <w:rPr>
            <w:color w:val="0000EE"/>
            <w:u w:val="single"/>
          </w:rPr>
          <w:t>ipisresearch.be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ningreview.com/magazine-article/congo-supply-all-services-providing-localised-solutions-to-the-drc/" TargetMode="External"/><Relationship Id="rId10" Type="http://schemas.openxmlformats.org/officeDocument/2006/relationships/hyperlink" Target="https://zoom-eco.net/a-la-une/drc-mining-week-2024-congo-supply-a-la-conquete-des-marches-pour-ses-equipements-de-protection-individuelle/" TargetMode="External"/><Relationship Id="rId11" Type="http://schemas.openxmlformats.org/officeDocument/2006/relationships/hyperlink" Target="https://en.wikipedia.org/wiki/Kibali_Gold_Mine" TargetMode="External"/><Relationship Id="rId12" Type="http://schemas.openxmlformats.org/officeDocument/2006/relationships/hyperlink" Target="https://www.barrick.com/English/news/news-details/2024/kibali-and-DRC-partner-to-promote-local-content/default.aspx" TargetMode="External"/><Relationship Id="rId13" Type="http://schemas.openxmlformats.org/officeDocument/2006/relationships/hyperlink" Target="https://wearevuka.com/sponsor/congo-supply-all-services/" TargetMode="External"/><Relationship Id="rId14" Type="http://schemas.openxmlformats.org/officeDocument/2006/relationships/hyperlink" Target="https://www.noahwire.com" TargetMode="External"/><Relationship Id="rId15" Type="http://schemas.openxmlformats.org/officeDocument/2006/relationships/hyperlink" Target="https://zoom-eco.net/a-la-une/drc-mining-week-2024-congo-supply-a-la-conquete-des-marches-pour-ses-equipements-de-protection-individuelle/?utm_source=openai" TargetMode="External"/><Relationship Id="rId16" Type="http://schemas.openxmlformats.org/officeDocument/2006/relationships/hyperlink" Target="https://wearevuka.com/sponsor/congo-supply-all-services/?utm_source=openai" TargetMode="External"/><Relationship Id="rId17" Type="http://schemas.openxmlformats.org/officeDocument/2006/relationships/hyperlink" Target="https://en.wikipedia.org/wiki/Kibali_Gold_Mine?utm_source=openai" TargetMode="External"/><Relationship Id="rId18" Type="http://schemas.openxmlformats.org/officeDocument/2006/relationships/hyperlink" Target="https://www.barrick.com/English/news/news-details/2024/kibali-and-DRC-partner-to-promote-local-content/default.aspx?utm_source=openai" TargetMode="External"/><Relationship Id="rId19" Type="http://schemas.openxmlformats.org/officeDocument/2006/relationships/hyperlink" Target="https://www.africanminingnews.co.za/mining-engineering-services-part-of-the-drcs-growth-story/" TargetMode="External"/><Relationship Id="rId20" Type="http://schemas.openxmlformats.org/officeDocument/2006/relationships/hyperlink" Target="https://congo-nouveau.org/2024/01/30/mes-empowering-growth-and-sustainability-in-the-heart-of-congos-mining-industry/?utm_source=openai" TargetMode="External"/><Relationship Id="rId21" Type="http://schemas.openxmlformats.org/officeDocument/2006/relationships/hyperlink" Target="https://ipisresearch.be/project/understanding-artisanal-mining-supply-chains-and-conflict-financing-in-drc/" TargetMode="External"/><Relationship Id="rId22" Type="http://schemas.openxmlformats.org/officeDocument/2006/relationships/hyperlink" Target="https://ipisresearch.be/project/understanding-artisanal-mining-supply-chains-and-conflict-financing-in-dr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