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Heathrow fire exposes urgent need for smarter, resilient air cargo hubs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March 2025, Heathrow Airport, recognised as Europe’s second-busiest air cargo hub, experienced a significant operational crisis due to a fire at a nearby electrical substation. This incident not only halted operations for nearly 20 hours but also disrupted cargo handling systems, warehouse refrigeration, customs clearance, and freighter operations across Terminals 3 and 4. The fallout from this power failure was substantial, as freighters were rerouted to alternative gateways such as East Midlands, Amsterdam, and Frankfurt, leading to considerable delays, particularly for temperature-sensitive shipments and just-in-time e-commerce parcels.</w:t>
      </w:r>
      <w:r/>
    </w:p>
    <w:p>
      <w:r/>
      <w:r>
        <w:t>This event starkly highlighted the critical nature of airports within global supply chains and the imperative need for robust infrastructure and digital redundancy. Heathrow's closure served as a reminder that an airport’s operational integrity is vital not just for the airport itself, but for the intricate web of logistics that relies on timely and efficient cargo movement. The impact was far-reaching, as over 290,000 passengers were affected globally, illustrating how the failure of a single node can ripple through the entire logistics network.</w:t>
      </w:r>
      <w:r/>
    </w:p>
    <w:p>
      <w:r/>
      <w:r>
        <w:t>The overarching implications of this incident extend beyond simple passenger inconvenience. It signals a profound recognition of airports as mission-critical logistics enablers, transforming from passive transit points to active facilitators in supply chain dynamics. As highlighted by various industry experts, the role of airports is evolving. They are tasked with managing the complexities of modern supply chains that require more than just a runway—airports must now integrate air, road, rail, and even sea freight to streamline operations effectively.</w:t>
      </w:r>
      <w:r/>
    </w:p>
    <w:p>
      <w:r/>
      <w:r>
        <w:t>In this context, the emergence of new technologies and digital platforms has become paramount. At Amsterdam Schiphol, for instance, the Cargonaut platform illustrates how data integration enhances operational efficiency by reducing dwell times and improving real-time customs coordination. Marco van Katwijk, Manager at Cargonaut, emphasised the significance of digital resilience in facilitating streamlined air logistics operations.</w:t>
      </w:r>
      <w:r/>
    </w:p>
    <w:p>
      <w:r/>
      <w:r>
        <w:t>Moreover, the growing e-commerce sector has transformed airports into substantial logistics hubs. Companies like Amazon Air, DHL Express, UPS, and FedEx have established dedicated airside facilities, enabling rapid processing of time-sensitive shipments. Liège Airport in Belgium has emerged as a key player in this regard, with continuous operations that allow it to adapt swiftly to supply chain shocks, ensuring that cargo flows remain uninterrupted even amid geopolitical upheavals or natural disasters.</w:t>
      </w:r>
      <w:r/>
    </w:p>
    <w:p>
      <w:r/>
      <w:r>
        <w:t>Strategically important airports, such as Bengaluru's Kempegowda International Airport, have also recognised the potential of cargo operations. With the capacity to handle over 715,000 metric tonnes of cargo annually, it reported a 17% increase in throughput in the previous year. Satyaki Raghunath, Chief Operating Officer at Bengaluru Airport, noted that strategic collaborations with global integrators have fostered a robust ecosystem capable of providing seamless warehousing integration and predictable transit times, even during peak demand.</w:t>
      </w:r>
      <w:r/>
    </w:p>
    <w:p>
      <w:r/>
      <w:r>
        <w:t>The demands of handling pharmaceuticals and perishables further reinforce the need for precision in airport cargo operations. With nearly 25% of Schiphol's cargo volume being cool chain shipments, airports are investing heavily in technologies for temperature control and monitoring to ensure the integrity of sensitive cargo. Facilities like Hactl’s Cool Chain Complex at Hong Kong International Airport have positioned themselves as key players in global cold chain logistics. This facility, the largest of its kind in the region, showcases advancements in temperature-controlled storage and handling aimed at pharmaceuticals and perishables alike.</w:t>
      </w:r>
      <w:r/>
    </w:p>
    <w:p>
      <w:r/>
      <w:r>
        <w:t>As airports continue evolving into smart trade hubs, the focus is shifting towards the utilisation of AI-driven technologies and digital tools for operational optimisation. Predictive analytics and blockchain solutions are anticipated to enhance traceability, thereby expediting customs processes and improving compliance across the supply chain. The future of cargo operations is expected to embrace automation and increased data transparency, significantly bolstering the efficiency and resilience of logistics operations.</w:t>
      </w:r>
      <w:r/>
    </w:p>
    <w:p>
      <w:r/>
      <w:r>
        <w:t>Ultimately, airports are transitioning from mere runways to dynamic logistics engines that underpin commerce on a global scale. The events at Heathrow serve as a reminder of the complexities inherent in airport operations and the necessity for ongoing investment in infrastructure and technology to safeguard the integrity of supply chains worldwide. Each incident underlines the critical takeaway: the reliability of our air cargo networks hinges not only on managing current capabilities but also on innovating for future resilience.</w:t>
      </w:r>
      <w:r/>
    </w:p>
    <w:p>
      <w:r/>
      <w:r>
        <w:t xml:space="preserve">Airports are undeniably becoming the central nervous system of global trade, orchestrating cargo movement with unprecedented precision, speed, and adaptability.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9">
        <w:r>
          <w:rPr>
            <w:color w:val="0000EE"/>
            <w:u w:val="single"/>
          </w:rPr>
          <w:t>[2]</w:t>
        </w:r>
      </w:hyperlink>
      <w:r>
        <w:t xml:space="preserve"> </w:t>
      </w:r>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[4]</w:t>
        </w:r>
      </w:hyperlink>
      <w:r>
        <w:t xml:space="preserve"> </w:t>
      </w:r>
      <w:r/>
    </w:p>
    <w:p>
      <w:pPr>
        <w:pStyle w:val="ListNumber"/>
        <w:spacing w:line="240" w:lineRule="auto"/>
        <w:ind w:left="720"/>
      </w:pPr>
      <w:r/>
      <w:r>
        <w:t xml:space="preserve">Paragraph 3: </w:t>
      </w:r>
      <w:hyperlink r:id="rId9">
        <w:r>
          <w:rPr>
            <w:color w:val="0000EE"/>
            <w:u w:val="single"/>
          </w:rPr>
          <w:t>[2]</w:t>
        </w:r>
      </w:hyperlink>
      <w:r>
        <w:t xml:space="preserve">, </w:t>
      </w:r>
      <w:hyperlink r:id="rId11">
        <w:r>
          <w:rPr>
            <w:color w:val="0000EE"/>
            <w:u w:val="single"/>
          </w:rPr>
          <w:t>[3]</w:t>
        </w:r>
      </w:hyperlink>
      <w:r>
        <w:t xml:space="preserve"> </w:t>
      </w:r>
      <w:r/>
    </w:p>
    <w:p>
      <w:pPr>
        <w:pStyle w:val="ListNumber"/>
        <w:spacing w:line="240" w:lineRule="auto"/>
        <w:ind w:left="720"/>
      </w:pPr>
      <w:r/>
      <w:r>
        <w:t xml:space="preserve">Paragraph 4: </w:t>
      </w:r>
      <w:hyperlink r:id="rId9">
        <w:r>
          <w:rPr>
            <w:color w:val="0000EE"/>
            <w:u w:val="single"/>
          </w:rPr>
          <w:t>[1]</w:t>
        </w:r>
      </w:hyperlink>
      <w:r>
        <w:t xml:space="preserve">, </w:t>
      </w:r>
      <w:hyperlink r:id="rId12">
        <w:r>
          <w:rPr>
            <w:color w:val="0000EE"/>
            <w:u w:val="single"/>
          </w:rPr>
          <w:t>[5]</w:t>
        </w:r>
      </w:hyperlink>
      <w:r>
        <w:t xml:space="preserve"> </w:t>
      </w:r>
      <w:r/>
    </w:p>
    <w:p>
      <w:pPr>
        <w:pStyle w:val="ListNumber"/>
        <w:spacing w:line="240" w:lineRule="auto"/>
        <w:ind w:left="720"/>
      </w:pPr>
      <w:r/>
      <w:r>
        <w:t xml:space="preserve">Paragraph 5: </w:t>
      </w:r>
      <w:hyperlink r:id="rId9">
        <w:r>
          <w:rPr>
            <w:color w:val="0000EE"/>
            <w:u w:val="single"/>
          </w:rPr>
          <w:t>[1]</w:t>
        </w:r>
      </w:hyperlink>
      <w:r>
        <w:t xml:space="preserve">, </w:t>
      </w:r>
      <w:hyperlink r:id="rId13">
        <w:r>
          <w:rPr>
            <w:color w:val="0000EE"/>
            <w:u w:val="single"/>
          </w:rPr>
          <w:t>[6]</w:t>
        </w:r>
      </w:hyperlink>
      <w:r>
        <w:t xml:space="preserve"> </w:t>
      </w:r>
      <w:r/>
    </w:p>
    <w:p>
      <w:pPr>
        <w:pStyle w:val="ListNumber"/>
        <w:spacing w:line="240" w:lineRule="auto"/>
        <w:ind w:left="720"/>
      </w:pPr>
      <w:r/>
      <w:r>
        <w:t xml:space="preserve">Paragraph 6: </w:t>
      </w:r>
      <w:hyperlink r:id="rId9">
        <w:r>
          <w:rPr>
            <w:color w:val="0000EE"/>
            <w:u w:val="single"/>
          </w:rPr>
          <w:t>[1]</w:t>
        </w:r>
      </w:hyperlink>
      <w:r>
        <w:t xml:space="preserve">, </w:t>
      </w:r>
      <w:hyperlink r:id="rId14">
        <w:r>
          <w:rPr>
            <w:color w:val="0000EE"/>
            <w:u w:val="single"/>
          </w:rPr>
          <w:t>[7]</w:t>
        </w:r>
      </w:hyperlink>
      <w:r>
        <w:t xml:space="preserve"> </w:t>
      </w:r>
      <w:r/>
    </w:p>
    <w:p>
      <w:pPr>
        <w:pStyle w:val="ListNumber"/>
        <w:spacing w:line="240" w:lineRule="auto"/>
        <w:ind w:left="720"/>
      </w:pPr>
      <w:r/>
      <w:r>
        <w:t xml:space="preserve">Paragraph 7: </w:t>
      </w:r>
      <w:hyperlink r:id="rId9">
        <w:r>
          <w:rPr>
            <w:color w:val="0000EE"/>
            <w:u w:val="single"/>
          </w:rPr>
          <w:t>[1]</w:t>
        </w:r>
      </w:hyperlink>
      <w:r>
        <w:t xml:space="preserve">, </w:t>
      </w:r>
      <w:hyperlink r:id="rId9">
        <w:r>
          <w:rPr>
            <w:color w:val="0000EE"/>
            <w:u w:val="single"/>
          </w:rPr>
          <w:t>[2]</w:t>
        </w:r>
      </w:hyperlink>
      <w:r>
        <w:t xml:space="preserve"> </w:t>
      </w:r>
      <w:r/>
    </w:p>
    <w:p>
      <w:pPr>
        <w:pStyle w:val="ListNumber"/>
        <w:spacing w:line="240" w:lineRule="auto"/>
        <w:ind w:left="720"/>
      </w:pPr>
      <w:r/>
      <w:r>
        <w:t xml:space="preserve">Paragraph 8: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[6]</w:t>
        </w:r>
      </w:hyperlink>
      <w:r>
        <w:t xml:space="preserve"> </w:t>
      </w:r>
      <w:r/>
    </w:p>
    <w:p>
      <w:pPr>
        <w:pStyle w:val="ListNumber"/>
        <w:spacing w:line="240" w:lineRule="auto"/>
        <w:ind w:left="720"/>
      </w:pPr>
      <w:r/>
      <w:r>
        <w:t xml:space="preserve">Paragraph 9: </w:t>
      </w:r>
      <w:hyperlink r:id="rId9">
        <w:r>
          <w:rPr>
            <w:color w:val="0000EE"/>
            <w:u w:val="single"/>
          </w:rPr>
          <w:t>[1]</w:t>
        </w:r>
      </w:hyperlink>
      <w:r>
        <w:t xml:space="preserve">, </w:t>
      </w:r>
      <w:hyperlink r:id="rId10">
        <w:r>
          <w:rPr>
            <w:color w:val="0000EE"/>
            <w:u w:val="single"/>
          </w:rPr>
          <w:t>[4]</w:t>
        </w:r>
      </w:hyperlink>
      <w:r>
        <w:t xml:space="preserve"> </w:t>
      </w:r>
      <w:r/>
    </w:p>
    <w:p>
      <w:pPr>
        <w:pStyle w:val="ListNumber"/>
        <w:spacing w:line="240" w:lineRule="auto"/>
        <w:ind w:left="720"/>
      </w:pPr>
      <w:r/>
      <w:r>
        <w:t xml:space="preserve">Paragraph 10: </w:t>
      </w:r>
      <w:hyperlink r:id="rId9">
        <w:r>
          <w:rPr>
            <w:color w:val="0000EE"/>
            <w:u w:val="single"/>
          </w:rPr>
          <w:t>[1]</w:t>
        </w:r>
      </w:hyperlink>
      <w:r>
        <w:t xml:space="preserve">, </w:t>
      </w:r>
      <w:hyperlink r:id="rId13">
        <w:r>
          <w:rPr>
            <w:color w:val="0000EE"/>
            <w:u w:val="single"/>
          </w:rPr>
          <w:t>[6]</w:t>
        </w:r>
      </w:hyperlink>
      <w:r>
        <w:t xml:space="preserve"> </w:t>
      </w:r>
      <w:r/>
    </w:p>
    <w:p>
      <w:pPr>
        <w:pStyle w:val="ListNumber"/>
        <w:spacing w:line="240" w:lineRule="auto"/>
        <w:ind w:left="720"/>
      </w:pPr>
      <w:r/>
      <w:r>
        <w:t xml:space="preserve">Paragraph 11: </w:t>
      </w:r>
      <w:hyperlink r:id="rId9">
        <w:r>
          <w:rPr>
            <w:color w:val="0000EE"/>
            <w:u w:val="single"/>
          </w:rPr>
          <w:t>[1]</w:t>
        </w:r>
      </w:hyperlink>
      <w:r>
        <w:t xml:space="preserve">, </w:t>
      </w:r>
      <w:hyperlink r:id="rId14">
        <w:r>
          <w:rPr>
            <w:color w:val="0000EE"/>
            <w:u w:val="single"/>
          </w:rPr>
          <w:t>[7]</w:t>
        </w:r>
      </w:hyperlink>
      <w:r>
        <w:t xml:space="preserve"> </w:t>
      </w:r>
      <w:r/>
    </w:p>
    <w:p>
      <w:pPr>
        <w:pStyle w:val="ListNumber"/>
        <w:spacing w:line="240" w:lineRule="auto"/>
        <w:ind w:left="720"/>
      </w:pPr>
      <w:r/>
      <w:r>
        <w:t xml:space="preserve">Paragraph 12: </w:t>
      </w:r>
      <w:hyperlink r:id="rId9">
        <w:r>
          <w:rPr>
            <w:color w:val="0000EE"/>
            <w:u w:val="single"/>
          </w:rPr>
          <w:t>[1]</w:t>
        </w:r>
      </w:hyperlink>
      <w:r>
        <w:t xml:space="preserve">, </w:t>
      </w:r>
      <w:hyperlink r:id="rId12">
        <w:r>
          <w:rPr>
            <w:color w:val="0000EE"/>
            <w:u w:val="single"/>
          </w:rPr>
          <w:t>[5]</w:t>
        </w:r>
      </w:hyperlink>
      <w:r>
        <w:t xml:space="preserve"> </w:t>
      </w:r>
      <w:r/>
    </w:p>
    <w:p>
      <w:pPr>
        <w:pStyle w:val="ListNumber"/>
        <w:spacing w:line="240" w:lineRule="auto"/>
        <w:ind w:left="720"/>
      </w:pPr>
      <w:r/>
      <w:r>
        <w:t xml:space="preserve">Paragraph 13: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Number"/>
        <w:spacing w:line="240" w:lineRule="auto"/>
        <w:ind w:left="720"/>
      </w:pPr>
      <w:r/>
      <w:r>
        <w:t xml:space="preserve">Paragraph 14: </w:t>
      </w:r>
      <w:hyperlink r:id="rId9">
        <w:r>
          <w:rPr>
            <w:color w:val="0000EE"/>
            <w:u w:val="single"/>
          </w:rPr>
          <w:t>[1]</w:t>
        </w:r>
      </w:hyperlink>
      <w:r>
        <w:t xml:space="preserve">, </w:t>
      </w:r>
      <w:hyperlink r:id="rId12">
        <w:r>
          <w:rPr>
            <w:color w:val="0000EE"/>
            <w:u w:val="single"/>
          </w:rPr>
          <w:t>[5]</w:t>
        </w:r>
      </w:hyperlink>
      <w:r>
        <w:t xml:space="preserve"> </w:t>
      </w:r>
      <w:r/>
    </w:p>
    <w:p>
      <w:pPr>
        <w:pStyle w:val="ListNumber"/>
        <w:spacing w:line="240" w:lineRule="auto"/>
        <w:ind w:left="720"/>
      </w:pPr>
      <w:r/>
      <w:r>
        <w:t xml:space="preserve">Paragraph 15: </w:t>
      </w:r>
      <w:hyperlink r:id="rId9">
        <w:r>
          <w:rPr>
            <w:color w:val="0000EE"/>
            <w:u w:val="single"/>
          </w:rPr>
          <w:t>[1]</w:t>
        </w:r>
      </w:hyperlink>
      <w:r>
        <w:t xml:space="preserve">, </w:t>
      </w:r>
      <w:hyperlink r:id="rId13">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https://www.stattimes.com/air-cargo/the-strategic-role-of-airports-in-the-supply-chain-1355296</w:t>
        </w:r>
      </w:hyperlink>
      <w:r>
        <w:t xml:space="preserve"> - Please view link - unable to able to access data</w:t>
      </w:r>
      <w:r/>
    </w:p>
    <w:p>
      <w:pPr>
        <w:pStyle w:val="ListNumber"/>
        <w:spacing w:line="240" w:lineRule="auto"/>
        <w:ind w:left="720"/>
      </w:pPr>
      <w:r/>
      <w:hyperlink r:id="rId9">
        <w:r>
          <w:rPr>
            <w:color w:val="0000EE"/>
            <w:u w:val="single"/>
          </w:rPr>
          <w:t>https://www.stattimes.com/air-cargo/the-strategic-role-of-airports-in-the-supply-chain-1355296</w:t>
        </w:r>
      </w:hyperlink>
      <w:r>
        <w:t xml:space="preserve"> - In March 2025, Heathrow Airport, Europe's second-busiest air cargo hub, was halted for nearly 20 hours due to a fire at a nearby electrical substation. This incident disrupted cargo handling systems, warehouse refrigeration, customs clearance, and freighter operations across Terminals 3 and 4. Freighters were rerouted to alternate gateways like East Midlands, Amsterdam, and Frankfurt, causing significant delays for temperature-sensitive shipments and just-in-time e-commerce parcels. The closure underscored the critical role airports play in global supply chains and highlighted the need for robust infrastructure and digital redundancy to ensure logistics continuity.</w:t>
      </w:r>
      <w:r/>
    </w:p>
    <w:p>
      <w:pPr>
        <w:pStyle w:val="ListNumber"/>
        <w:spacing w:line="240" w:lineRule="auto"/>
        <w:ind w:left="720"/>
      </w:pPr>
      <w:r/>
      <w:hyperlink r:id="rId11">
        <w:r>
          <w:rPr>
            <w:color w:val="0000EE"/>
            <w:u w:val="single"/>
          </w:rPr>
          <w:t>https://www.reuters.com/world/uk/londons-stansted-airport-hit-by-it-problems-delaying-flights-2025-05-11/</w:t>
        </w:r>
      </w:hyperlink>
      <w:r>
        <w:t xml:space="preserve"> - On May 11, 2025, London's Stansted Airport experienced major IT problems that disrupted check-in, baggage, and security operations, leading to long queues and flight delays. Although the technical issues were eventually resolved, delays continued. This incident follows similar disruptions at other major UK airports, including a March shutdown at Heathrow due to a substation fire and a power issue at Manchester Airport on Friday that delayed immigration processing for arriving passengers. The recurring technical issues at major UK airports highlight the vulnerability of critical infrastructure and the need for robust contingency planning.</w:t>
      </w:r>
      <w:r/>
    </w:p>
    <w:p>
      <w:pPr>
        <w:pStyle w:val="ListNumber"/>
        <w:spacing w:line="240" w:lineRule="auto"/>
        <w:ind w:left="720"/>
      </w:pPr>
      <w:r/>
      <w:hyperlink r:id="rId10">
        <w:r>
          <w:rPr>
            <w:color w:val="0000EE"/>
            <w:u w:val="single"/>
          </w:rPr>
          <w:t>https://www.flightglobal.com/air-transport/london-heathrow-closure-after-substation-fire-cost-iag-around-50m/162932.article</w:t>
        </w:r>
      </w:hyperlink>
      <w:r>
        <w:t xml:space="preserve"> - The closure of London Heathrow Airport following a power outage on March 21, 2025, had a €50 million ($56 million) impact on the operating profit of British Airways and Iberia parent IAG. The outage was caused by a fire at a large electricity facility known as North Hyde, east of Heathrow. The incident disrupted over 1,300 flights and affected more than 290,000 passengers globally. The root cause of the fire remains unknown, and investigations are ongoing to determine the reason behind it.</w:t>
      </w:r>
      <w:r/>
    </w:p>
    <w:p>
      <w:pPr>
        <w:pStyle w:val="ListNumber"/>
        <w:spacing w:line="240" w:lineRule="auto"/>
        <w:ind w:left="720"/>
      </w:pPr>
      <w:r/>
      <w:hyperlink r:id="rId12">
        <w:r>
          <w:rPr>
            <w:color w:val="0000EE"/>
            <w:u w:val="single"/>
          </w:rPr>
          <w:t>https://www.asisonline.org/security-management-magazine/latest-news/today-in-security/2025/march/Fire-London-Substation/</w:t>
        </w:r>
      </w:hyperlink>
      <w:r>
        <w:t xml:space="preserve"> - A massive fire at a nearby electrical substation caused a power outage at Heathrow Airport, Europe's busiest, leading to significant travel disruptions. The blaze, which began late on Thursday, was eventually brought under control by 70 firefighters. Though power was restored by Saturday morning, the fallout from the interruption impacted around 200,000 travelers, with flights canceled or diverted to various European airports. The incident underscored concerns about the UK's critical infrastructure resilience amid potential sabotage threats. Remedial efforts to clear the backlog and return operations to normal are expected to take several days.</w:t>
      </w:r>
      <w:r/>
    </w:p>
    <w:p>
      <w:pPr>
        <w:pStyle w:val="ListNumber"/>
        <w:spacing w:line="240" w:lineRule="auto"/>
        <w:ind w:left="720"/>
      </w:pPr>
      <w:r/>
      <w:hyperlink r:id="rId13">
        <w:r>
          <w:rPr>
            <w:color w:val="0000EE"/>
            <w:u w:val="single"/>
          </w:rPr>
          <w:t>https://www.craneww.com/knowledge-center/latest-news-and-info/airport-heathrow-fire/</w:t>
        </w:r>
      </w:hyperlink>
      <w:r>
        <w:t xml:space="preserve"> - A fire at an electrical substation near Heathrow Airport caused a major power outage, leading to the temporary closure of the busy airport on March 21, 2025. The incident disrupted all inbound and outbound flights and cargo operations, with delays to shipments arriving or departing from Heathrow. Crane Worldwide Logistics actively monitored the situation and worked closely with local partners to minimize the impact on supply chains. The company committed to keeping clients informed as more information became available and provided updates on any significant developments.</w:t>
      </w:r>
      <w:r/>
    </w:p>
    <w:p>
      <w:pPr>
        <w:pStyle w:val="ListNumber"/>
        <w:spacing w:line="240" w:lineRule="auto"/>
        <w:ind w:left="720"/>
      </w:pPr>
      <w:r/>
      <w:hyperlink r:id="rId14">
        <w:r>
          <w:rPr>
            <w:color w:val="0000EE"/>
            <w:u w:val="single"/>
          </w:rPr>
          <w:t>https://www.aircargonews.net/cargo-airports/heathrow-cargo-operations-back-in-action/1079849.article</w:t>
        </w:r>
      </w:hyperlink>
      <w:r>
        <w:t xml:space="preserve"> - Cargo operations at Heathrow Airport resumed following the power outage that resulted in the grounding of all flights and shutdown of operations on March 21, 2025. Heathrow announced that it was open and fully operational, with all terminals and car parks now accessible. IAG Cargo confirmed that operations at London Heathrow had returned to normal. The swift recovery was attributed to the efforts of airlines, airport partners, and supply chain colleagues working tirelessly to restore operations smoothly. Passengers were advised to check with their airline for the latest information regarding their flight.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ttimes.com/air-cargo/the-strategic-role-of-airports-in-the-supply-chain-1355296" TargetMode="External"/><Relationship Id="rId10" Type="http://schemas.openxmlformats.org/officeDocument/2006/relationships/hyperlink" Target="https://www.flightglobal.com/air-transport/london-heathrow-closure-after-substation-fire-cost-iag-around-50m/162932.article" TargetMode="External"/><Relationship Id="rId11" Type="http://schemas.openxmlformats.org/officeDocument/2006/relationships/hyperlink" Target="https://www.reuters.com/world/uk/londons-stansted-airport-hit-by-it-problems-delaying-flights-2025-05-11/" TargetMode="External"/><Relationship Id="rId12" Type="http://schemas.openxmlformats.org/officeDocument/2006/relationships/hyperlink" Target="https://www.asisonline.org/security-management-magazine/latest-news/today-in-security/2025/march/Fire-London-Substation/" TargetMode="External"/><Relationship Id="rId13" Type="http://schemas.openxmlformats.org/officeDocument/2006/relationships/hyperlink" Target="https://www.craneww.com/knowledge-center/latest-news-and-info/airport-heathrow-fire/" TargetMode="External"/><Relationship Id="rId14" Type="http://schemas.openxmlformats.org/officeDocument/2006/relationships/hyperlink" Target="https://www.aircargonews.net/cargo-airports/heathrow-cargo-operations-back-in-action/1079849.articl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