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institutions must innovate in managing rising geopolitical risks alongside ESG factors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evolving landscape of global finance, the significance of sustainable risk management cannot be overstated, especially as geopolitical tensions escalate. With the war in Ukraine and the conflicts in the Middle East highlighting vulnerabilities that were previously underestimated, financial institutions find themselves at a pivotal moment. The management of geopolitical risks has emerged as an essential area of focus, intersecting closely with environmental, social, and governance (ESG) considerations. As these risks increasingly disrupt trade flows, destabilise supply chains, and influence capital dynamics, banks and similar entities must adapt their risk management frameworks accordingly. </w:t>
      </w:r>
      <w:r/>
    </w:p>
    <w:p>
      <w:r/>
      <w:r>
        <w:t>The emergence of the Geopolitical Risk Index (GPR) offers a quantifiable lens through which the mounting tensions can be observed. Since the onset of the Ukraine conflict, the index has demonstrated a marked increase, reflecting the tangible effects of these geopolitical instabilities. These risks do not simply exist in theory; they manifest in escalating market volatility, sector-wide supply chain challenges, and shifts in regulatory landscapes that can significantly impact financial returns. Analysis from recent years suggests that geopolitical risks now rank among the top operational concerns for global financial institutions, a sentiment echoed by the European Central Bank’s commitment to scrutinising these dynamics more closely in its supervisory activities.</w:t>
      </w:r>
      <w:r/>
    </w:p>
    <w:p>
      <w:r/>
      <w:r>
        <w:t xml:space="preserve">The effects of geopolitical risks are complex and multifaceted, often acting through indirect mechanisms that can complicate risk assessments. For example, sanctions levied against nations or corporations can severely limit market access and hinder trade, thereby creating financial ripple effects that extend beyond initial impacts. Additionally, political instability threatens to alter borrowers’ creditworthiness, escalating default risks and increasing compliance costs for institutions navigating a labyrinthine regulatory environment. </w:t>
      </w:r>
      <w:r/>
    </w:p>
    <w:p>
      <w:r/>
      <w:r>
        <w:t>Understanding the parallels between geopolitical and ESG-related risks is essential for effective management. Both categories are characterised by a limited ability to rely on historical data for predictive analyses; changes in political landscapes can occur rapidly and unpredictably, essentially making traditional forecasting methods inadequate. This “deep uncertainty” means that classical quantitative risk assessments must be complemented with qualitative approaches, such as scenario analyses and horizon scanning. Such methods not only foster a more robust understanding of emerging risks but also enable institutions to identify early indicators that may signal future geopolitical shifts.</w:t>
      </w:r>
      <w:r/>
    </w:p>
    <w:p>
      <w:r/>
      <w:r>
        <w:t>Central to proactive risk management is the development of scenario analyses, which can help illuminate potential adverse effects of geopolitical upheavals on institutional stability. While scenarios for ESG risks often follow established frameworks, the same cannot be said for geopolitical risks, where clear guidelines are lacking. Financial institutions need to embrace creativity, developing narratives that account for worst-case scenarios—considering social and political upheavals that could influence market dynamics in unprecedented ways. This requires collaboration across various fields, merging insights from economics, political science, and sociology to conceive comprehensive risk narratives.</w:t>
      </w:r>
      <w:r/>
    </w:p>
    <w:p>
      <w:r/>
      <w:r>
        <w:t>The pressing need for enhanced risk management practices is further underscored by the increasing fragmentation of the global economy, particularly evident in the shifting supply chains amid U.S.-China trade tensions and the strategic considerations surrounding critical minerals. As geopolitical factors begin to drive market behaviours, the investment landscape faces a considerable transformation. Investment firms are adapting by incorporating geopolitical expertise into their strategies, establishing dedicated units to navigate this complex terrain effectively.</w:t>
      </w:r>
      <w:r/>
    </w:p>
    <w:p>
      <w:r/>
      <w:r>
        <w:t>Furthermore, the integration of horizon scanning into regular risk assessments provides an additional layer of vigilance. By routinely engaging with contemporary geopolitical developments, financial institutions can identify potential threats and opportunities more swiftly. This proactive stance enables them to refine strategic responses and develop scenario frameworks that can be adapted as conditions evolve, ensuring resilience in a volatile environment.</w:t>
      </w:r>
      <w:r/>
    </w:p>
    <w:p>
      <w:r/>
      <w:r>
        <w:t>In summary, effective risk management in today's world will demand a significant rethinking of current methodologies to integrate geopolitical challenges seamlessly into traditional frameworks. By leveraging established ESG tools, institutions can actively weave these considerations into their strategic fabric, thereby enhancing their resilience. A recognition that the interplay between geopolitical and financial landscapes is not only inevitable but crucial will pave the way for more robust management practices in an unpredictable world.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https://blogs.pwc.de/de/sustainability/article/249043/zukunftsfaehiges-risikomanagement/</w:t>
        </w:r>
      </w:hyperlink>
      <w:r>
        <w:t xml:space="preserve"> - Please view link - unable to able to access data</w:t>
      </w:r>
      <w:r/>
    </w:p>
    <w:p>
      <w:pPr>
        <w:pStyle w:val="ListNumber"/>
        <w:spacing w:line="240" w:lineRule="auto"/>
        <w:ind w:left="720"/>
      </w:pPr>
      <w:r/>
      <w:hyperlink r:id="rId11">
        <w:r>
          <w:rPr>
            <w:color w:val="0000EE"/>
            <w:u w:val="single"/>
          </w:rPr>
          <w:t>https://www.ft.com/content/24187c18-9cfe-4b8c-8863-6f3bf09e2cd4</w:t>
        </w:r>
      </w:hyperlink>
      <w:r>
        <w:t xml:space="preserve"> - This Financial Times article discusses the escalating geopolitical tensions over critical mineral supply chains, particularly rare earth elements essential for green technologies and defense systems. China's April 2025 imposition of licensing regulations on seven rare earths has raised concerns about potential disruptions in industries like electric vehicle and fighter jet manufacturing. The article highlights the challenges faced by the U.S., which has minimal domestic production and stockpiles of these critical minerals, emphasizing the need for alternative suppliers and strategic planning to mitigate supply chain risks.</w:t>
      </w:r>
      <w:r/>
    </w:p>
    <w:p>
      <w:pPr>
        <w:pStyle w:val="ListNumber"/>
        <w:spacing w:line="240" w:lineRule="auto"/>
        <w:ind w:left="720"/>
      </w:pPr>
      <w:r/>
      <w:hyperlink r:id="rId13">
        <w:r>
          <w:rPr>
            <w:color w:val="0000EE"/>
            <w:u w:val="single"/>
          </w:rPr>
          <w:t>https://www.ft.com/content/9a810c10-c887-40e5-a8c7-02aa0e111c93</w:t>
        </w:r>
      </w:hyperlink>
      <w:r>
        <w:t xml:space="preserve"> - This Financial Times article examines the heightened risks faced by global banks due to U.S. sanctions and export controls targeting Russia's economy amid the ongoing conflict in Ukraine. Since February 2022, the U.S. has sanctioned approximately 3,500 entities, restricting major Russian banks from engaging in U.S. dollar transactions. The article underscores the necessity for financial institutions to strengthen compliance measures, including updating 'know your customer' protocols and monitoring alternative payment methods like cryptocurrencies, to navigate the complexities of international sanctions.</w:t>
      </w:r>
      <w:r/>
    </w:p>
    <w:p>
      <w:pPr>
        <w:pStyle w:val="ListNumber"/>
        <w:spacing w:line="240" w:lineRule="auto"/>
        <w:ind w:left="720"/>
      </w:pPr>
      <w:r/>
      <w:hyperlink r:id="rId10">
        <w:r>
          <w:rPr>
            <w:color w:val="0000EE"/>
            <w:u w:val="single"/>
          </w:rPr>
          <w:t>https://www.reuters.com/markets/global-trade-rift-widening-ukraine-war-passes-two-year-mark-2024-02-22/</w:t>
        </w:r>
      </w:hyperlink>
      <w:r>
        <w:t xml:space="preserve"> - This Reuters article reports on the deepening fragmentation of the global economy into two distinct blocs, two years after Russia's invasion of Ukraine. The piece highlights the impact of increasing geopolitical tensions, sanctions, and trade restrictions on multilateral trade rules. It discusses the emergence of 'friend-shoring,' where countries shift supply chains from China to democratic allies, and notes the significant decline in U.S.-China bilateral trade since 2018, emphasizing the challenges posed by rising trade protectionism.</w:t>
      </w:r>
      <w:r/>
    </w:p>
    <w:p>
      <w:pPr>
        <w:pStyle w:val="ListNumber"/>
        <w:spacing w:line="240" w:lineRule="auto"/>
        <w:ind w:left="720"/>
      </w:pPr>
      <w:r/>
      <w:hyperlink r:id="rId12">
        <w:r>
          <w:rPr>
            <w:color w:val="0000EE"/>
            <w:u w:val="single"/>
          </w:rPr>
          <w:t>https://www.ft.com/content/23ce295d-bf65-47fd-bebd-808b5a7bcab5</w:t>
        </w:r>
      </w:hyperlink>
      <w:r>
        <w:t xml:space="preserve"> - This Financial Times article explores how the investment world is adapting to the growing influence of geopolitical risks on capital allocation and market volatility. It highlights discussions at major conferences where experts emphasize the inseparability of politics and investment strategies. The article notes a structural shift in the global economy, with geopolitics transitioning from a deflationary to an inflationary force, prompting investment firms to enhance their geopolitical expertise and establish dedicated advisory units to navigate these challenges.</w:t>
      </w:r>
      <w:r/>
    </w:p>
    <w:p>
      <w:pPr>
        <w:pStyle w:val="ListNumber"/>
        <w:spacing w:line="240" w:lineRule="auto"/>
        <w:ind w:left="720"/>
      </w:pPr>
      <w:r/>
      <w:hyperlink r:id="rId14">
        <w:r>
          <w:rPr>
            <w:color w:val="0000EE"/>
            <w:u w:val="single"/>
          </w:rPr>
          <w:t>https://www.axios.com/2024/01/12/red-sea-supply-chain-economy</w:t>
        </w:r>
      </w:hyperlink>
      <w:r>
        <w:t xml:space="preserve"> - This Axios article discusses the economic implications of instability in the Red Sea, which is complicating the already strained global supply chain. Recent attacks by the U.S. and U.K. on Houthi rebels in Yemen, supported by Iran, have escalated tensions, leading to increased oil prices and disruptions for companies like Tesla, which had to suspend production in Germany. The piece highlights the added layer of uncertainty in the global economy and the challenges in diversifying and strengthening supply chains amid such geopolitical tensions.</w:t>
      </w:r>
      <w:r/>
    </w:p>
    <w:p>
      <w:pPr>
        <w:pStyle w:val="ListNumber"/>
        <w:spacing w:line="240" w:lineRule="auto"/>
        <w:ind w:left="720"/>
      </w:pPr>
      <w:r/>
      <w:hyperlink r:id="rId15">
        <w:r>
          <w:rPr>
            <w:color w:val="0000EE"/>
            <w:u w:val="single"/>
          </w:rPr>
          <w:t>https://www.ft.com/content/1cfa6b3e-16c2-41e9-a1f6-fc90afaa7a98</w:t>
        </w:r>
      </w:hyperlink>
      <w:r>
        <w:t xml:space="preserve"> - This Financial Times article examines the evolution of globalization in the context of recent geopolitical challenges, such as U.S.-China trade tensions and protectionist rhetoric from leaders like Donald Trump and Luiz Inácio Lula da Silva. Despite these setbacks, the article observes an overall increase in global connections, with supply chains diversifying across more countries. It references data from the World Trade Organization and a joint study by NYU Stern School of Business and DHL, indicating that global trade growth remains robust and that the global connectedness index has remained stable at historically high levels into 2023.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pwc.de/de/sustainability/article/249043/zukunftsfaehiges-risikomanagement/" TargetMode="External"/><Relationship Id="rId10" Type="http://schemas.openxmlformats.org/officeDocument/2006/relationships/hyperlink" Target="https://www.reuters.com/markets/global-trade-rift-widening-ukraine-war-passes-two-year-mark-2024-02-22/" TargetMode="External"/><Relationship Id="rId11" Type="http://schemas.openxmlformats.org/officeDocument/2006/relationships/hyperlink" Target="https://www.ft.com/content/24187c18-9cfe-4b8c-8863-6f3bf09e2cd4" TargetMode="External"/><Relationship Id="rId12" Type="http://schemas.openxmlformats.org/officeDocument/2006/relationships/hyperlink" Target="https://www.ft.com/content/23ce295d-bf65-47fd-bebd-808b5a7bcab5" TargetMode="External"/><Relationship Id="rId13" Type="http://schemas.openxmlformats.org/officeDocument/2006/relationships/hyperlink" Target="https://www.ft.com/content/9a810c10-c887-40e5-a8c7-02aa0e111c93" TargetMode="External"/><Relationship Id="rId14" Type="http://schemas.openxmlformats.org/officeDocument/2006/relationships/hyperlink" Target="https://www.axios.com/2024/01/12/red-sea-supply-chain-economy" TargetMode="External"/><Relationship Id="rId15" Type="http://schemas.openxmlformats.org/officeDocument/2006/relationships/hyperlink" Target="https://www.ft.com/content/1cfa6b3e-16c2-41e9-a1f6-fc90afaa7a9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