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drama 2.0 exposes new geopolitical and economic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Supply chain issues and logistical challenges have defined the post-COVID landscape, revealing profound vulnerabilities as manufacturers, shippers, and suppliers struggled to find equilibrium in a shaking global economy. While some of these challenges have begun to ease, the experience has highlighted the intricate fragility inherent in international trade. </w:t>
      </w:r>
      <w:r/>
    </w:p>
    <w:p>
      <w:r/>
      <w:r>
        <w:t>As trade and tariff policies continue to dominate news headlines, it has become increasingly clear that a new wave of supply chain uncertainty, aptly termed Supply Chain Drama 2.0, may be looming on the horizon. Countries are grappling with fast-evolving economic dynamics, raising concerns about the ramifications of geopolitical conflicts. Recent events, such as the Houthi attacks in the Red Sea, underscore the impact of geopolitical tensions on trade routes. These disruptions have led to halted car production in Europe and delays in fashion supply lines in the UK, further illustrating how interconnected our economic systems truly are.</w:t>
      </w:r>
      <w:r/>
    </w:p>
    <w:p>
      <w:r/>
      <w:r>
        <w:t>In this complex web of international trade, the “think globally, act locally” mantra often proves easier said than done. Understanding the global economic landscape necessitates a viewpoint that transcends conventional wisdom, reaching for a perspective akin to observing the globe from half a million feet up. Economic systems function like a Rube Goldberg machine, with millions of interconnected parts. Even seemingly trivial changes can initiate unprecedented repercussions across vast distances. This phenomenon, popularly known as the butterfly effect, shows how minor shifts in one domain can lead to significant outcomes elsewhere, emphasising the interdependence of international markets.</w:t>
      </w:r>
      <w:r/>
    </w:p>
    <w:p>
      <w:r/>
      <w:r>
        <w:t>The delicate balance of the global economy is further strained by rising trade barriers and shifting supply chains, with manufacturers increasingly looking to relocate production away from China. This transition not only reshapes trade dynamics but also poses challenges for central banks. As they navigate a post-pandemic landscape characterised by inflation pressures, central banks are confronted with the task of managing increased costs stemming from these supply chain transitions. Factors like aging populations, the move towards renewable energy, and lingering effects of the pandemic complicate their efforts to maintain economic stability.</w:t>
      </w:r>
      <w:r/>
    </w:p>
    <w:p>
      <w:r/>
      <w:r>
        <w:t xml:space="preserve">While some sectors have managed to cope with surging inflation without significant state intervention – attributing the price rises more to increased consumer demand than supply chain disruptions – the need for careful management remains pressing. Instances like the semiconductor shortage highlight the fragility of certain industries, signalling a profound need for businesses to bolster their strategies against future shocks. </w:t>
      </w:r>
      <w:r/>
    </w:p>
    <w:p>
      <w:r/>
      <w:r>
        <w:t xml:space="preserve">Furthermore, the ongoing influence of the Russia-Ukraine conflict introduces additional variables into this equation, pushing central banks to adopt more forceful policies in a bid to control dynamic inflationary pressures. A recent stabilisation in the global supply chain pressures, as reported by the New York Federal Reserve’s supply chain pressure index, indicates a momentary relief from these strains. However, risks persist, particularly as unresolved contract negotiations between U.S. port operators and dockworkers could spark further disruptions. </w:t>
      </w:r>
      <w:r/>
    </w:p>
    <w:p>
      <w:r/>
      <w:r>
        <w:t>In conclusion, the butterfly effect exemplifies the unpredictable nature of the global economy. As countries and companies seek to navigate these complexities, the imperative remains clear: preparation and adaptability are crucial in a world where even the smallest of disturbances can have far-reaching consequences. With the spectre of future disruptions always looming, understanding the profound interconnectedness of our economic landscape will be essential to weathering whatever challenges arise next.</w:t>
      </w:r>
      <w:r/>
    </w:p>
    <w:p>
      <w:pPr>
        <w:pBdr>
          <w:bottom w:val="single" w:sz="6" w:space="1" w:color="auto"/>
        </w:pBdr>
      </w:pPr>
      <w:r/>
    </w:p>
    <w:p>
      <w:pPr>
        <w:pStyle w:val="Heading3"/>
      </w:pPr>
      <w:r>
        <w:t>Reference Map</w:t>
      </w:r>
      <w:r/>
      <w:r/>
    </w:p>
    <w:p>
      <w:pPr>
        <w:pStyle w:val="ListBullet"/>
        <w:spacing w:line="240" w:lineRule="auto"/>
        <w:ind w:left="720"/>
      </w:pPr>
      <w:r/>
      <w:r>
        <w:t>Paragraph 1: 1</w:t>
      </w:r>
      <w:r/>
    </w:p>
    <w:p>
      <w:pPr>
        <w:pStyle w:val="ListBullet"/>
        <w:spacing w:line="240" w:lineRule="auto"/>
        <w:ind w:left="720"/>
      </w:pPr>
      <w:r/>
      <w:r>
        <w:t>Paragraph 2: 2</w:t>
      </w:r>
      <w:r/>
    </w:p>
    <w:p>
      <w:pPr>
        <w:pStyle w:val="ListBullet"/>
        <w:spacing w:line="240" w:lineRule="auto"/>
        <w:ind w:left="720"/>
      </w:pPr>
      <w:r/>
      <w:r>
        <w:t>Paragraph 3: 1</w:t>
      </w:r>
      <w:r/>
    </w:p>
    <w:p>
      <w:pPr>
        <w:pStyle w:val="ListBullet"/>
        <w:spacing w:line="240" w:lineRule="auto"/>
        <w:ind w:left="720"/>
      </w:pPr>
      <w:r/>
      <w:r>
        <w:t>Paragraph 4: 3</w:t>
      </w:r>
      <w:r/>
    </w:p>
    <w:p>
      <w:pPr>
        <w:pStyle w:val="ListBullet"/>
        <w:spacing w:line="240" w:lineRule="auto"/>
        <w:ind w:left="720"/>
      </w:pPr>
      <w:r/>
      <w:r>
        <w:t>Paragraph 5: 4</w:t>
      </w:r>
      <w:r/>
    </w:p>
    <w:p>
      <w:pPr>
        <w:pStyle w:val="ListBullet"/>
        <w:spacing w:line="240" w:lineRule="auto"/>
        <w:ind w:left="720"/>
      </w:pPr>
      <w:r/>
      <w:r>
        <w:t>Paragraph 6: 5</w:t>
      </w:r>
      <w:r/>
    </w:p>
    <w:p>
      <w:pPr>
        <w:pStyle w:val="ListBullet"/>
        <w:spacing w:line="240" w:lineRule="auto"/>
        <w:ind w:left="720"/>
      </w:pPr>
      <w:r/>
      <w:r>
        <w:t>Paragraph 7: 6</w:t>
      </w:r>
      <w:r/>
    </w:p>
    <w:p>
      <w:pPr>
        <w:pStyle w:val="ListBullet"/>
        <w:spacing w:line="240" w:lineRule="auto"/>
        <w:ind w:left="720"/>
      </w:pPr>
      <w:r/>
      <w:r>
        <w:t>Paragraph 8: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https://evolve-success.com/welcome-to-the-butterfly-effect-economy/</w:t>
        </w:r>
      </w:hyperlink>
      <w:r>
        <w:t xml:space="preserve"> - Please view link - unable to able to access data</w:t>
      </w:r>
      <w:r/>
    </w:p>
    <w:p>
      <w:pPr>
        <w:pStyle w:val="ListNumber"/>
        <w:spacing w:line="240" w:lineRule="auto"/>
        <w:ind w:left="720"/>
      </w:pPr>
      <w:r/>
      <w:hyperlink r:id="rId11">
        <w:r>
          <w:rPr>
            <w:color w:val="0000EE"/>
            <w:u w:val="single"/>
          </w:rPr>
          <w:t>https://www.ft.com/content/047367e4-a25c-4fe5-a1a9-fa79c9ebb9c4</w:t>
        </w:r>
      </w:hyperlink>
      <w:r>
        <w:t xml:space="preserve"> - This article discusses the impact of geopolitical conflicts on global supply chains, highlighting how events like the Houthi attacks in the Red Sea have disrupted trade routes, leading to halted car production in Europe and delays in fashion lines in the UK. It underscores the interconnectedness of global economies and the vulnerability of supply chains to geopolitical tensions, emphasizing the need for businesses to adapt to such disruptions to maintain stability and meet consumer demand.</w:t>
      </w:r>
      <w:r/>
    </w:p>
    <w:p>
      <w:pPr>
        <w:pStyle w:val="ListNumber"/>
        <w:spacing w:line="240" w:lineRule="auto"/>
        <w:ind w:left="720"/>
      </w:pPr>
      <w:r/>
      <w:hyperlink r:id="rId12">
        <w:r>
          <w:rPr>
            <w:color w:val="0000EE"/>
            <w:u w:val="single"/>
          </w:rPr>
          <w:t>https://apnews.com/article/aec9e51d969ed56e2348a8c839e764e8</w:t>
        </w:r>
      </w:hyperlink>
      <w:r>
        <w:t xml:space="preserve"> - The article examines the challenges central banks face in managing global inflation pressures, particularly in the aftermath of the COVID-19 pandemic. It highlights factors such as rising trade barriers, aging populations, and the transition to renewable energy, which contribute to economic disruptions and increased costs. The piece also discusses the shift in supply chains away from China to other countries and the complexities central banks encounter in controlling inflation amid these changes.</w:t>
      </w:r>
      <w:r/>
    </w:p>
    <w:p>
      <w:pPr>
        <w:pStyle w:val="ListNumber"/>
        <w:spacing w:line="240" w:lineRule="auto"/>
        <w:ind w:left="720"/>
      </w:pPr>
      <w:r/>
      <w:hyperlink r:id="rId13">
        <w:r>
          <w:rPr>
            <w:color w:val="0000EE"/>
            <w:u w:val="single"/>
          </w:rPr>
          <w:t>https://www.ft.com/content/2fc445c8-e226-48d4-8a03-f961ddb60e65</w:t>
        </w:r>
      </w:hyperlink>
      <w:r>
        <w:t xml:space="preserve"> - This piece explores how value chains have managed the surge in inflation without significant state intervention, despite the strains from the COVID-19 pandemic and the Russia-Ukraine conflict. It argues that the inflation was largely driven by a surge in consumer demand rather than supply chain disruptions alone. The article provides examples like the semiconductor shortage and port congestion, suggesting that government intervention should be limited to genuine security threats and aiding businesses in adapting to future shocks.</w:t>
      </w:r>
      <w:r/>
    </w:p>
    <w:p>
      <w:pPr>
        <w:pStyle w:val="ListNumber"/>
        <w:spacing w:line="240" w:lineRule="auto"/>
        <w:ind w:left="720"/>
      </w:pPr>
      <w:r/>
      <w:hyperlink r:id="rId14">
        <w:r>
          <w:rPr>
            <w:color w:val="0000EE"/>
            <w:u w:val="single"/>
          </w:rPr>
          <w:t>https://www.reuters.com/business/finance/central-banks-set-forceful-hyperactivity-mike-dolan-2024-10-04/</w:t>
        </w:r>
      </w:hyperlink>
      <w:r>
        <w:t xml:space="preserve"> - This article discusses the potential need for central banks to adopt more forceful and active policies in response to the economic variations caused by sudden changes in inflation and supply shocks in the post-pandemic world. The article highlights how central banks are rapidly reversing the interest rate hikes initiated to control the inflation spike fueled by COVID-19 and the Ukraine conflict. Despite these dramatic shifts, economies may achieve a 'soft landing' without major output contractions.</w:t>
      </w:r>
      <w:r/>
    </w:p>
    <w:p>
      <w:pPr>
        <w:pStyle w:val="ListNumber"/>
        <w:spacing w:line="240" w:lineRule="auto"/>
        <w:ind w:left="720"/>
      </w:pPr>
      <w:r/>
      <w:hyperlink r:id="rId15">
        <w:r>
          <w:rPr>
            <w:color w:val="0000EE"/>
            <w:u w:val="single"/>
          </w:rPr>
          <w:t>https://www.reuters.com/world/us/supply-chain-calm-likely-remain-amid-us-port-strike-settlement-2024-10-04/</w:t>
        </w:r>
      </w:hyperlink>
      <w:r>
        <w:t xml:space="preserve"> - The article reports on the stabilization of global supply chain pressures, as indicated by the New York Federal Reserve's global supply chain pressure index. The index decreased to 0.13 in September, ending an upward trend from earlier in the year. This stability is attributed to the resolution of a U.S. port strike that had threatened to disrupt trade and increase inflation. However, the article notes that the U.S. economy still faces risks due to pending contract details between port operators and dockworkers.</w:t>
      </w:r>
      <w:r/>
    </w:p>
    <w:p>
      <w:pPr>
        <w:pStyle w:val="ListNumber"/>
        <w:spacing w:line="240" w:lineRule="auto"/>
        <w:ind w:left="720"/>
      </w:pPr>
      <w:r/>
      <w:hyperlink r:id="rId16">
        <w:r>
          <w:rPr>
            <w:color w:val="0000EE"/>
            <w:u w:val="single"/>
          </w:rPr>
          <w:t>https://en.wikipedia.org/wiki/2020%E2%80%932023_global_chip_shortage</w:t>
        </w:r>
      </w:hyperlink>
      <w:r>
        <w:t xml:space="preserve"> - This Wikipedia article provides a comprehensive overview of the global chip shortage that occurred between 2020 and 2023. It details the causes, including the COVID-19 pandemic, increased demand for electronics, and trade tensions. The article also discusses the impact on various industries, such as automotive and consumer electronics, and the responses from governments and companies to mitigate the effects of the shortage.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olve-success.com/welcome-to-the-butterfly-effect-economy/" TargetMode="External"/><Relationship Id="rId11" Type="http://schemas.openxmlformats.org/officeDocument/2006/relationships/hyperlink" Target="https://www.ft.com/content/047367e4-a25c-4fe5-a1a9-fa79c9ebb9c4" TargetMode="External"/><Relationship Id="rId12" Type="http://schemas.openxmlformats.org/officeDocument/2006/relationships/hyperlink" Target="https://apnews.com/article/aec9e51d969ed56e2348a8c839e764e8" TargetMode="External"/><Relationship Id="rId13" Type="http://schemas.openxmlformats.org/officeDocument/2006/relationships/hyperlink" Target="https://www.ft.com/content/2fc445c8-e226-48d4-8a03-f961ddb60e65" TargetMode="External"/><Relationship Id="rId14" Type="http://schemas.openxmlformats.org/officeDocument/2006/relationships/hyperlink" Target="https://www.reuters.com/business/finance/central-banks-set-forceful-hyperactivity-mike-dolan-2024-10-04/" TargetMode="External"/><Relationship Id="rId15" Type="http://schemas.openxmlformats.org/officeDocument/2006/relationships/hyperlink" Target="https://www.reuters.com/world/us/supply-chain-calm-likely-remain-amid-us-port-strike-settlement-2024-10-04/" TargetMode="External"/><Relationship Id="rId16" Type="http://schemas.openxmlformats.org/officeDocument/2006/relationships/hyperlink" Target="https://en.wikipedia.org/wiki/2020%E2%80%932023_global_chip_shor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