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CIOs pivot to modular cloud as resilience antidote to supply‑chain shocks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During a period of pronounced market volatility, the argument advanced by the original Fast Mode piece is straightforward: CIOs reduce complexity and increase organisational agility by moving away from monolithic, opex‑heavy legacy systems and toward cloud‑native, modular platforms. That shift is not mere modernisation for its own sake — it is a strategic repositioning that makes firms more resilient to supply‑chain shocks, demand swings and cost pressure, while permitting faster, safer pivots when circumstances change.</w:t>
      </w:r>
      <w:r/>
    </w:p>
    <w:p>
      <w:r/>
      <w:r>
        <w:t>Why modular cloud matters Monolithic systems impose long lead times, multi‑year commitments and a maintenance burden that turns IT organisations into custodians of risk rather than enablers of value. Moving to cloud‑native microservices and API‑first architectures breaks those long cycles, enabling elastic scaling and the reallocation of engineering effort from upkeep to innovation. Consulting firms that have analysed large migrations show that cloud adoption can cut incidents, speed provisioning and free teams for product work — but only when migration is paired with application remediation, strong governance and staff upskilling. Lift‑and‑shift alone seldom unlocks the full benefits of cloud.</w:t>
      </w:r>
      <w:r/>
    </w:p>
    <w:p>
      <w:r/>
      <w:r>
        <w:t>Where technology delivers tactical advantage Several concrete technology areas consistently repay investment during volatility:</w:t>
      </w:r>
      <w:r/>
      <w:r/>
    </w:p>
    <w:p>
      <w:pPr>
        <w:pStyle w:val="ListBullet"/>
        <w:spacing w:line="240" w:lineRule="auto"/>
        <w:ind w:left="720"/>
      </w:pPr>
      <w:r/>
      <w:r>
        <w:t>Visibility and traceability. Combining IoT telemetry with immutable audit trails gives firms a real‑time view of production and movement. Vendors positioning blockchain solutions for food and retail supply chains argue these systems accelerate provenance queries, speed recalls and support sustainability claims — practical advantages when routing or sourcing must change overnight. Such systems work best when integrated with sensor feeds and supplier collaboration, rather than as stand‑alone proofs of concept.</w:t>
      </w:r>
      <w:r/>
    </w:p>
    <w:p>
      <w:pPr>
        <w:pStyle w:val="ListBullet"/>
        <w:spacing w:line="240" w:lineRule="auto"/>
        <w:ind w:left="720"/>
      </w:pPr>
      <w:r/>
      <w:r>
        <w:t>Supplier diversification and onboarding. Digital platforms that catalogue suppliers, automate verification and manage contracts reduce the time to onboard alternate sources across geographies, lowering single‑point‑of‑failure risk. This is as much an operational play as a technical one — data models, master records and KYC automation determine whether new suppliers can be brought into play at scale.</w:t>
      </w:r>
      <w:r/>
    </w:p>
    <w:p>
      <w:pPr>
        <w:pStyle w:val="ListBullet"/>
        <w:spacing w:line="240" w:lineRule="auto"/>
        <w:ind w:left="720"/>
      </w:pPr>
      <w:r/>
      <w:r>
        <w:t>Cloud migration and cost control. Cloud gives elasticity and the option to move from capital to operational spend, but it creates new governance demands. Industry guidance stresses a “cloud‑smart” approach: remediate and refactor applications where necessary, adopt APIs, establish an operating model and embed FinOps practices to prevent runaway costs from poorly designed migrations. Pragmatic use of reserved capacity and ongoing cost governance are essential guardrails.</w:t>
      </w:r>
      <w:r/>
    </w:p>
    <w:p>
      <w:pPr>
        <w:pStyle w:val="ListBullet"/>
        <w:spacing w:line="240" w:lineRule="auto"/>
        <w:ind w:left="720"/>
      </w:pPr>
      <w:r/>
      <w:r>
        <w:t>Automation and robotics. Robotic process automation and industrial automation deliver quick wins on repetitive, labour‑intensive tasks. Case studies show rapid cycle‑time reductions and cost savings when RPA is applied to high‑volume administrative workflows; in manufacturing, predictive maintenance and analytics reduce downtime and materially improve throughput and energy efficiency. The recommended path is start small with high‑value use cases, instrument for measurement, then scale.</w:t>
      </w:r>
      <w:r/>
    </w:p>
    <w:p>
      <w:pPr>
        <w:pStyle w:val="ListBullet"/>
        <w:spacing w:line="240" w:lineRule="auto"/>
        <w:ind w:left="720"/>
      </w:pPr>
      <w:r/>
      <w:r>
        <w:t>Data‑driven optimisation. Advanced analytics and machine learning convert sensor and operations data into predictive insight — from yield and energy optimisation to better demand forecasting and personalised customer retention offers. But analytics programmes need clean, accessible data and tight change management to turn models into sustained business outcomes.</w:t>
      </w:r>
      <w:r/>
    </w:p>
    <w:p>
      <w:pPr>
        <w:pStyle w:val="ListBullet"/>
        <w:spacing w:line="240" w:lineRule="auto"/>
        <w:ind w:left="720"/>
      </w:pPr>
      <w:r/>
      <w:r>
        <w:t>Cybersecurity as an enabler. Modern estates are hybrid and distributed; securing them requires a shift from perimeter thinking to continuous verification. Zero‑trust principles — continuous identity and device posture verification, least privilege and microsegmentation — should be integral to any cloud‑native strategy. Security investment protects optionality: executives will only move quickly when they trust the environment.</w:t>
      </w:r>
      <w:r/>
      <w:r/>
    </w:p>
    <w:p>
      <w:r/>
      <w:r>
        <w:t>Practical strategy for CIOs under pressure CIOs face decision paralysis: too many vendors, unclear roadmaps, and a fear of lock‑in. Practical measures reduce that paralysis and convert strategy into outcomes:</w:t>
      </w:r>
      <w:r/>
      <w:r/>
    </w:p>
    <w:p>
      <w:pPr>
        <w:pStyle w:val="ListBullet"/>
        <w:spacing w:line="240" w:lineRule="auto"/>
        <w:ind w:left="720"/>
      </w:pPr>
      <w:r/>
      <w:r>
        <w:t>Treat technology purchases as strategic levers, not line items. Demand business cases with measurable ROI and clear impact on resilience or revenue. Prioritise ruthlessly during tightening budgets.</w:t>
      </w:r>
      <w:r/>
    </w:p>
    <w:p>
      <w:pPr>
        <w:pStyle w:val="ListBullet"/>
        <w:spacing w:line="240" w:lineRule="auto"/>
        <w:ind w:left="720"/>
      </w:pPr>
      <w:r/>
      <w:r>
        <w:t>Build a cross‑functional operating model. Work with the CFO, COO and procurement to create scenario plans — “what‑ifs” that map supply‑chain disruption, demand shocks or regulatory change to specific tech capabilities and investment needs.</w:t>
      </w:r>
      <w:r/>
    </w:p>
    <w:p>
      <w:pPr>
        <w:pStyle w:val="ListBullet"/>
        <w:spacing w:line="240" w:lineRule="auto"/>
        <w:ind w:left="720"/>
      </w:pPr>
      <w:r/>
      <w:r>
        <w:t>Embed governance and FinOps from day one. Cost control and cloud governance should be part of the migration plan, not retrofitted. Clear sourcing decisions and pragmatic use of pricing models (including reserved instances where appropriate) limit surprise bills.</w:t>
      </w:r>
      <w:r/>
    </w:p>
    <w:p>
      <w:pPr>
        <w:pStyle w:val="ListBullet"/>
        <w:spacing w:line="240" w:lineRule="auto"/>
        <w:ind w:left="720"/>
      </w:pPr>
      <w:r/>
      <w:r>
        <w:t>Start with pilots that prove value. Use small, high‑impact pilots for automation, analytics or refactored services, measure outcomes, then scale. This approach accelerates learning and reduces risk.</w:t>
      </w:r>
      <w:r/>
    </w:p>
    <w:p>
      <w:pPr>
        <w:pStyle w:val="ListBullet"/>
        <w:spacing w:line="240" w:lineRule="auto"/>
        <w:ind w:left="720"/>
      </w:pPr>
      <w:r/>
      <w:r>
        <w:t>Invest in people and change. Upskilling and change programmes are as important as platform choices. The CIO must move beyond an IT mindset to act as a business partner who can translate technical options into commercial outcomes.</w:t>
      </w:r>
      <w:r/>
    </w:p>
    <w:p>
      <w:pPr>
        <w:pStyle w:val="ListBullet"/>
        <w:spacing w:line="240" w:lineRule="auto"/>
        <w:ind w:left="720"/>
      </w:pPr>
      <w:r/>
      <w:r>
        <w:t>Adopt security first principles. Align migrations with zero‑trust design and incident response planning so that speed does not come at the cost of new vulnerabilities.</w:t>
      </w:r>
      <w:r/>
    </w:p>
    <w:p>
      <w:pPr>
        <w:pStyle w:val="ListBullet"/>
        <w:spacing w:line="240" w:lineRule="auto"/>
        <w:ind w:left="720"/>
      </w:pPr>
      <w:r/>
      <w:r>
        <w:t>Choose partners that add judgement. Independent technology advisers and pragmatic vendors who understand governance, operations and integration can accelerate adoption while avoiding common pitfalls such as inexperienced partners or improper purchasing.</w:t>
      </w:r>
      <w:r/>
      <w:r/>
    </w:p>
    <w:p>
      <w:r/>
      <w:r>
        <w:t>A pragmatic roadmap For organisations that must act now, a condensed roadmap helps convert intent into motion: assess critical systems and map technical debt; identify two or three high‑value pilots (for example, predictive maintenance on a critical asset, RPA for a high‑volume back‑office process, or a supplier‑traceability proof‑of‑value that ties IoT to an auditable ledger); deploy cross‑functional squads with product metrics and FinOps guardrails; harden security using zero‑trust principles; capture outcomes and scale the winners.</w:t>
      </w:r>
      <w:r/>
    </w:p>
    <w:p>
      <w:r/>
      <w:r>
        <w:t>Conclusion Modernisation in volatile markets is not an optional efficiency play — it is the means by which companies preserve optionality and protect revenue when conditions change. As industry analyses and practical deployments show, the combination of cloud‑native architecture, disciplined governance, automation, data analytics and robust security creates a step change in responsiveness. The challenge for CIOs is organisational as much as technical: to reframe technology investment as a strategic enabler, to move quickly but prudently, and to deliver measurable business outcomes that make the organisation both leaner and more resilient.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https://www.thefastmode.com/expert-opinion/43870-how-to-manage-market-volatility-by-modernizing-your-tech</w:t>
        </w:r>
      </w:hyperlink>
      <w:r>
        <w:t xml:space="preserve"> - Please view link - unable to able to access data</w:t>
      </w:r>
      <w:r/>
    </w:p>
    <w:p>
      <w:pPr>
        <w:pStyle w:val="ListNumber"/>
        <w:spacing w:line="240" w:lineRule="auto"/>
        <w:ind w:left="720"/>
      </w:pPr>
      <w:r/>
      <w:hyperlink r:id="rId11">
        <w:r>
          <w:rPr>
            <w:color w:val="0000EE"/>
            <w:u w:val="single"/>
          </w:rPr>
          <w:t>https://www.mckinsey.com/capabilities/mckinsey-digital/our-insights/cloud-adoption-to-accelerate-it-modernization</w:t>
        </w:r>
      </w:hyperlink>
      <w:r>
        <w:t xml:space="preserve"> - McKinsey explains that migrating from monolithic, legacy IT to cloud-native, standardised architectures delivers resilience, agility and cost reductions when combined with automation and organisational change. The article warns that simple lift‑and‑shift seldom unlocks cloud’s full value; firms must remediate applications, adopt APIs, and upskill staff. It cites case studies (for example, Netflix and a Fortune 100 insurer) showing reduced incidents, faster provisioning and significant cost savings. McKinsey recommends an operating model, governance and change management, and highlights benefits such as elastic scaling, improved service quality and the ability to reallocate teams from maintenance to innovation while driving competitive business outcomes.</w:t>
      </w:r>
      <w:r/>
    </w:p>
    <w:p>
      <w:pPr>
        <w:pStyle w:val="ListNumber"/>
        <w:spacing w:line="240" w:lineRule="auto"/>
        <w:ind w:left="720"/>
      </w:pPr>
      <w:r/>
      <w:hyperlink r:id="rId12">
        <w:r>
          <w:rPr>
            <w:color w:val="0000EE"/>
            <w:u w:val="single"/>
          </w:rPr>
          <w:t>https://www.gartner.com/en/articles/public-cloud</w:t>
        </w:r>
      </w:hyperlink>
      <w:r>
        <w:t xml:space="preserve"> - Gartner outlines public‑cloud migration strategies that balance speed with rigorous planning to achieve agility and avoid cost traps. The guidance emphasises business‑driven cloud strategy, cloud governance, and FinOps practices to control spending and prevent inefficiencies from poorly planned migrations. Gartner warns against common pitfalls such as inexperienced partners, improper purchasing, and failure to transform operations for cloud optimisation. The article recommends clear sourcing decisions, training and change management, pragmatic use of reserved instances, and ongoing cost governance. By following these principles, organisations can gain flexibility, reduce capital expenditure, and scale resources as market conditions change without sacrificing security or compliance.</w:t>
      </w:r>
      <w:r/>
    </w:p>
    <w:p>
      <w:pPr>
        <w:pStyle w:val="ListNumber"/>
        <w:spacing w:line="240" w:lineRule="auto"/>
        <w:ind w:left="720"/>
      </w:pPr>
      <w:r/>
      <w:hyperlink r:id="rId13">
        <w:r>
          <w:rPr>
            <w:color w:val="0000EE"/>
            <w:u w:val="single"/>
          </w:rPr>
          <w:t>https://www.ibm.com/blockchain/resources/7-benefits-ibm-food-trust</w:t>
        </w:r>
      </w:hyperlink>
      <w:r>
        <w:t xml:space="preserve"> - IBM describes its Food Trust blockchain solution as a means to provide end‑to‑end traceability, visibility and trust across food supply chains. Using immutable ledger records and integration with IoT sensors, the platform enables rapid provenance queries, faster recalls and improved demand forecasting. IBM argues that blockchain plus real‑time sensor data reduces food waste, enhances brand trust and helps prove sustainability claims through auditable documents and certificates. The service supports collaboration among producers, suppliers, manufacturers and retailers, giving participants transparency into product status, provenance and certification. IBM positions Food Trust as a practical tool for supply‑chain resilience and public‑health risk reduction.</w:t>
      </w:r>
      <w:r/>
    </w:p>
    <w:p>
      <w:pPr>
        <w:pStyle w:val="ListNumber"/>
        <w:spacing w:line="240" w:lineRule="auto"/>
        <w:ind w:left="720"/>
      </w:pPr>
      <w:r/>
      <w:hyperlink r:id="rId14">
        <w:r>
          <w:rPr>
            <w:color w:val="0000EE"/>
            <w:u w:val="single"/>
          </w:rPr>
          <w:t>https://www.mckinsey.com/capabilities/operations/our-insights/operations-management-reshaped-by-robotic-automation</w:t>
        </w:r>
      </w:hyperlink>
      <w:r>
        <w:t xml:space="preserve"> - McKinsey analyses how robotic automation and RPA transform operations by automating repetitive, rule‑based tasks to cut costs and improve accuracy. The paper highlights rapid deployment, low barriers to entry and measurable returns: examples include dramatic reductions in cycle times, decreased NOC and field‑force costs, and improved customer‑service throughput. McKinsey notes RPA’s capacity to free staff for higher‑value work while embedding monitoring and governance to control quality. It recommends starting small with high‑value use cases, scaling successful pilots, and integrating cognitive capabilities where appropriate. Overall, McKinsey presents automation as a pragmatic lever for efficiency and operational resilience and improved customer satisfaction.</w:t>
      </w:r>
      <w:r/>
    </w:p>
    <w:p>
      <w:pPr>
        <w:pStyle w:val="ListNumber"/>
        <w:spacing w:line="240" w:lineRule="auto"/>
        <w:ind w:left="720"/>
      </w:pPr>
      <w:r/>
      <w:hyperlink r:id="rId15">
        <w:r>
          <w:rPr>
            <w:color w:val="0000EE"/>
            <w:u w:val="single"/>
          </w:rPr>
          <w:t>https://www.mckinsey.com/capabilities/operations/our-insights/manufacturing-analytics-unleashes-productivity-and-profitability</w:t>
        </w:r>
      </w:hyperlink>
      <w:r>
        <w:t xml:space="preserve"> - McKinsey outlines how advanced analytics in manufacturing—predictive maintenance, YET (yield‑energy‑throughput) and profit‑per‑hour optimisation—delivers material productivity and profitability gains. Using sensor data and machine learning, firms can predict failures, reduce downtime, and increase asset life, yielding EBITDA improvements and lower energy consumption. McKinsey provides case studies where predictive models cut downtime substantially and enabled better resource allocation across complex supply chains. The study stresses that analytics must complement human expertise and that thoughtful implementation, data readiness and change management are essential. Advanced analytics thus become a strategic tool for cost reduction and adaptive production in volatile markets and sustained competitive advantage.</w:t>
      </w:r>
      <w:r/>
    </w:p>
    <w:p>
      <w:pPr>
        <w:pStyle w:val="ListNumber"/>
        <w:spacing w:line="240" w:lineRule="auto"/>
        <w:ind w:left="720"/>
      </w:pPr>
      <w:r/>
      <w:hyperlink r:id="rId16">
        <w:r>
          <w:rPr>
            <w:color w:val="0000EE"/>
            <w:u w:val="single"/>
          </w:rPr>
          <w:t>https://www.nist.gov/publications/zero-trust-architecture</w:t>
        </w:r>
      </w:hyperlink>
      <w:r>
        <w:t xml:space="preserve"> - NIST’s Zero Trust Architecture (SP 800‑207) defines principles and deployment models for protecting resources irrespective of network location, advocating continuous verification, least privilege and microsegmentation. The publication explains how zero trust shifts focus from perimeter defences to identity, device posture and data flow controls, and offers architectures for hybrid and multi‑cloud environments. NIST supplies guidance on planning, risk assessment and implementation steps, emphasising integration with existing security frameworks and incident response. The work positions zero trust as essential for ensuring business continuity, secure remote and partner access, enabling innovation by reducing breach risk and improving resilience across modern IT estates.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fastmode.com/expert-opinion/43870-how-to-manage-market-volatility-by-modernizing-your-tech" TargetMode="External"/><Relationship Id="rId11" Type="http://schemas.openxmlformats.org/officeDocument/2006/relationships/hyperlink" Target="https://www.mckinsey.com/capabilities/mckinsey-digital/our-insights/cloud-adoption-to-accelerate-it-modernization" TargetMode="External"/><Relationship Id="rId12" Type="http://schemas.openxmlformats.org/officeDocument/2006/relationships/hyperlink" Target="https://www.gartner.com/en/articles/public-cloud" TargetMode="External"/><Relationship Id="rId13" Type="http://schemas.openxmlformats.org/officeDocument/2006/relationships/hyperlink" Target="https://www.ibm.com/blockchain/resources/7-benefits-ibm-food-trust" TargetMode="External"/><Relationship Id="rId14" Type="http://schemas.openxmlformats.org/officeDocument/2006/relationships/hyperlink" Target="https://www.mckinsey.com/capabilities/operations/our-insights/operations-management-reshaped-by-robotic-automation" TargetMode="External"/><Relationship Id="rId15" Type="http://schemas.openxmlformats.org/officeDocument/2006/relationships/hyperlink" Target="https://www.mckinsey.com/capabilities/operations/our-insights/manufacturing-analytics-unleashes-productivity-and-profitability" TargetMode="External"/><Relationship Id="rId16" Type="http://schemas.openxmlformats.org/officeDocument/2006/relationships/hyperlink" Target="https://www.nist.gov/publications/zero-trust-architec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