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Importers must treat tariff shocks as permanent risk, not episodic disruption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Pharmaceutical importers entering 2025 face a trade environment that has shifted from episodic disruption to structural risk. Escalating tariffs, tighter regulatory scrutiny and concentrated supplier networks — particularly for active pharmaceutical ingredients (APIs) — are forcing firms to reconfigure how they buy, store and move critical inputs. According to the original report from Full Avante News, companies that convert contingency planning into continual operational practice will gain the most resilient position. Recent reporting and policy analysis add sharper details about where those vulnerabilities lie and which levers work in practice.</w:t>
      </w:r>
      <w:r/>
    </w:p>
    <w:p>
      <w:r/>
      <w:r>
        <w:t>A fragmented tariff picture and clinical risk Tariff pressure is not uniform. Reuters reported on 25 April 2025 that some companies have secured product‑specific tariff exemptions from Chinese authorities, but these concessions are limited and often conditional — for example on local investment commitments — so they cannot be treated as a dependable, sector‑wide fix. The Washington Post warned on 11 April 2025 that tariffs or export controls on Chinese APIs could imperil supplies of drugs such as heparin, where China currently dominates raw‑material production; the piece emphasised the real clinical risk of shortages and the constrained ability of the US generics market to absorb higher input costs. Taken together, these accounts underline a core strategic truth: short‑term relief is possible in isolated cases, but systemic exposure remains.</w:t>
      </w:r>
      <w:r/>
    </w:p>
    <w:p>
      <w:r/>
      <w:r>
        <w:t>From crisis exercises to continuous modelling Industry and consultancy analyses recommend treating scenario planning as an operational cadence rather than an annual exercise. Deloitte’s guidance for manufacturers under tariff pressure recommends rigorous supply‑chain mapping, multi‑scenario modelling and duty‑classification diligence to quantify exposure and identify trigger points for action. Dynamic scenario modelling and tariff forecasting — already being adopted by leading importers — let procurement teams test the financial trade‑offs of shifting suppliers, reshoring production, or accepting higher duties, and thereby sharpen negotiating positions with vendors.</w:t>
      </w:r>
      <w:r/>
    </w:p>
    <w:p>
      <w:r/>
      <w:r>
        <w:t>Diversification, dual‑sourcing and friend‑shoring One of the clearest responses is diversification. Full Avante’s coverage highlights dual‑sourcing and redundant supplier networks as primary safeguards: pairing geographically distinct suppliers (for example, an API maker in India with a second source in Eastern Europe) reduces single‑point failures. The Atlantic Council’s brief on friend‑shoring frames this as a geopolitical strategy as well as an operational one, arguing that moving some sourcing to politically aligned partners can lower long‑term risk while acknowledging the practical limits and economic trade‑offs of rapid decoupling from dominant producers.</w:t>
      </w:r>
      <w:r/>
    </w:p>
    <w:p>
      <w:r/>
      <w:r>
        <w:t>Nearshoring — relocating production closer to final markets — is another practical route. BCG’s analysis of nearshoring in Mexico points to faster lead times, tariff mitigation and access to established industrial clusters as real advantages for medical devices and shielded segments of pharmaceutical manufacturing. But BCG also warns of rising labour costs, infrastructure constraints and regulatory uncertainty in host countries; nearshoring reduces some risks while introducing new ones that must be managed through targeted investment and workforce development.</w:t>
      </w:r>
      <w:r/>
    </w:p>
    <w:p>
      <w:r/>
      <w:r>
        <w:t>Technology: predictive visibility and automated compliance Digital tools are central to the modern risk toolkit. Full Avante and industry reports describe AI‑driven supplier‑network analytics that surface early warning signs — delayed shipments, payment stress or regulatory flags — enabling proactive contractual or operational responses. This capability complements regulators’ growing use of automation: the FDA’s Entry Screening Systems and Tools programme, including the PREDICT predictive‑risk engine, already integrates historical data and automated queries to flag shipments for review or expedite low‑risk goods. Firms should therefore assume that regulators and customers will demand richer, machine‑readable documentation and invest accordingly.</w:t>
      </w:r>
      <w:r/>
    </w:p>
    <w:p>
      <w:r/>
      <w:r>
        <w:t>Stockpiles, domestic capacity and the politics of resilience Strategic stockpiling has reappeared not as wasteful inventory but as optional insurance: targeted buffers for the most critical APIs or starting materials can buy time during inspection delays or sudden tariff moves. Yet the Washington Post’s reporting about heparin underlines that building domestic capacity is neither quick nor cheap; regulatory barriers, capital intensity and skilled‑labour shortages constrain rapid reshoring. Policymakers have signalled incentives, and firms respond to those incentives variably — but rebuilding supply security at scale will be a medium‑term project that requires public‑private coordination.</w:t>
      </w:r>
      <w:r/>
    </w:p>
    <w:p>
      <w:r/>
      <w:r>
        <w:t>Practical trade‑offs and the smaller‑firm problem Consultancies stress the unequal burden of these responses. Deloitte warns that smaller companies will struggle to absorb the costs of dual‑sourcing, digital transformation and reshoring without policy support or coalition buying. Business decisions therefore balance resilience against cost and time‑to‑market: increasing geographic diversity reduces supply fragility but raises procurement complexity and unit costs; stockpiles improve continuity but tie up capital.</w:t>
      </w:r>
      <w:r/>
    </w:p>
    <w:p>
      <w:r/>
      <w:r>
        <w:t>A seven‑point operational checklist for importers - Map end‑to‑end supplier networks, including sub‑tier sources and logistics partners.</w:t>
        <w:br/>
      </w:r>
      <w:r>
        <w:t>- Run tariff and scenario modelling regularly to set clear trigger points for sourcing shifts.</w:t>
        <w:br/>
      </w:r>
      <w:r>
        <w:t>- Prioritise dual‑sourcing for highest‑risk APIs and excipients; qualify secondary suppliers in stable jurisdictions.</w:t>
        <w:br/>
      </w:r>
      <w:r>
        <w:t>- Evaluate nearshoring and friend‑shoring pragmatically, weighing lead‑time and tariff gains against labour and infrastructure constraints.</w:t>
        <w:br/>
      </w:r>
      <w:r>
        <w:t>- Invest in AI‑led visibility platforms to detect early supplier distress and in automated compliance tools that align with regulators’ systems.</w:t>
        <w:br/>
      </w:r>
      <w:r>
        <w:t>- Maintain targeted stockpiles for critical inputs where feasible and cost‑effective.</w:t>
        <w:br/>
      </w:r>
      <w:r>
        <w:t>- Engage with policymakers and industry groups to shape incentives and obtain contingency support when market failures threaten patient access.</w:t>
      </w:r>
      <w:r/>
    </w:p>
    <w:p>
      <w:r/>
      <w:r>
        <w:t>Conclusion The trade landscape in 2025 will not be reset by a single waiver or one‑off supply deal. As Reuters and other reporting demonstrate, limited exemptions and geopolitical flux mean that companies must design supply chains that tolerate policy volatility while maintaining clinical supply. The firms that fuse continuous scenario modelling, diversified sourcing, targeted stockpiles and modern digital compliance tools will be best placed to keep drugs flowing and costs manageable — but success will require sustained investment, cross‑sector cooperation and realistic acceptance of the trade‑off between efficiency and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https://fullavantenews.com/future-proof-pharma-imports-strategies-2025/</w:t>
        </w:r>
      </w:hyperlink>
      <w:r>
        <w:t xml:space="preserve"> - Please view link - unable to able to access data</w:t>
      </w:r>
      <w:r/>
    </w:p>
    <w:p>
      <w:pPr>
        <w:pStyle w:val="ListNumber"/>
        <w:spacing w:line="240" w:lineRule="auto"/>
        <w:ind w:left="720"/>
      </w:pPr>
      <w:r/>
      <w:hyperlink r:id="rId11">
        <w:r>
          <w:rPr>
            <w:color w:val="0000EE"/>
            <w:u w:val="single"/>
          </w:rPr>
          <w:t>https://www.reuters.com/business/healthcare-pharmaceuticals/amcham-china-president-says-pharma-companies-have-reported-tariff-exemptions-2025-04-25/</w:t>
        </w:r>
      </w:hyperlink>
      <w:r>
        <w:t xml:space="preserve"> - Reuters reports that some pharmaceutical firms in China have obtained product‑specific tariff exemptions amid an escalating US‑China trade dispute. The piece describes how companies including major multinationals have reported flexibility from Chinese authorities to import certain drugs tariff‑free, while noting exemptions appear limited and contingent on commitments such as investment. Reuters explains that high reciprocal tariffs between the United States and China have strained pharmaceutical trade, forcing firms to choose between absorbing costs or raising prices, and that exemptions are not sector‑wide. The article highlights risks to profit, supply chains and patient access, illustrating the trade pressures reshaping sourcing decisions.</w:t>
      </w:r>
      <w:r/>
    </w:p>
    <w:p>
      <w:pPr>
        <w:pStyle w:val="ListNumber"/>
        <w:spacing w:line="240" w:lineRule="auto"/>
        <w:ind w:left="720"/>
      </w:pPr>
      <w:r/>
      <w:hyperlink r:id="rId12">
        <w:r>
          <w:rPr>
            <w:color w:val="0000EE"/>
            <w:u w:val="single"/>
          </w:rPr>
          <w:t>https://www.washingtonpost.com/health/2025/04/11/tariffs-pharmaceuticals-china-heparin/</w:t>
        </w:r>
      </w:hyperlink>
      <w:r>
        <w:t xml:space="preserve"> - The Washington Post examines how proposed tariffs could imperil supplies of heparin and other drugs that rely on Chinese active pharmaceutical ingredients. It recounts patient and clinician concerns, explains China’s dominant role in heparin raw‑material production, and warns that tariffs or export controls might quickly trigger shortages. The report outlines limited US domestic capacity, regulatory and economic barriers to reshoring, and the constrained ability of generics makers to pass costs to purchasers. Using expert commentary and past shortages as context, the article stresses clinical risk and supply fragility, urging measures such as supplier diversification, stockpiling and investment in alternative hubs.</w:t>
      </w:r>
      <w:r/>
    </w:p>
    <w:p>
      <w:pPr>
        <w:pStyle w:val="ListNumber"/>
        <w:spacing w:line="240" w:lineRule="auto"/>
        <w:ind w:left="720"/>
      </w:pPr>
      <w:r/>
      <w:hyperlink r:id="rId13">
        <w:r>
          <w:rPr>
            <w:color w:val="0000EE"/>
            <w:u w:val="single"/>
          </w:rPr>
          <w:t>https://www.fda.gov/industry/fda-import-process/entry-screening-systems-and-tools</w:t>
        </w:r>
      </w:hyperlink>
      <w:r>
        <w:t xml:space="preserve"> - The FDA explains its automated import‑screening systems which use predictive analytics to target risky shipments and expedite low‑risk goods. The Entry Screening Systems and Tools page describes PREDICT — Predictive Risk‑based Evaluation for Dynamic Import Compliance Targeting — and shows how the agency integrates data, historical records and automated queries to flag products, importers or shippers for review. It outlines internal tools such as Import Entry Review, OASIS and ITACS for document exchange and case management. The page emphasises that automation enhances FDA’s ability to focus resources, improve compliance oversight, and provide early alerts on potential violations or public‑health risks.</w:t>
      </w:r>
      <w:r/>
    </w:p>
    <w:p>
      <w:pPr>
        <w:pStyle w:val="ListNumber"/>
        <w:spacing w:line="240" w:lineRule="auto"/>
        <w:ind w:left="720"/>
      </w:pPr>
      <w:r/>
      <w:hyperlink r:id="rId14">
        <w:r>
          <w:rPr>
            <w:color w:val="0000EE"/>
            <w:u w:val="single"/>
          </w:rPr>
          <w:t>https://www.atlanticcouncil.org/in-depth-research-reports/issue-brief/our-guide-to-friend-shoring-sectors-to-watch/</w:t>
        </w:r>
      </w:hyperlink>
      <w:r>
        <w:t xml:space="preserve"> - The Atlantic Council’s issue brief on friend‑shoring analyses the strategic pivot towards sourcing from politically aligned countries to reduce geopolitical risk. It highlights active pharmaceutical ingredients as a high‑risk sector, noting China’s dominant share of global API and key starting material production, and how overreliance endangers supply security. The brief discusses policy and corporate motives for reconfiguring supply chains, practical limits of decoupling, and the economic trade‑offs of relocating production. It recommends targeted diversification, alliance‑based sourcing and industrial policy to rebuild resilient supply networks, providing context for why firms may pursue nearshoring, dual‑sourcing and friend‑shoring strategies in practice over time.</w:t>
      </w:r>
      <w:r/>
    </w:p>
    <w:p>
      <w:pPr>
        <w:pStyle w:val="ListNumber"/>
        <w:spacing w:line="240" w:lineRule="auto"/>
        <w:ind w:left="720"/>
      </w:pPr>
      <w:r/>
      <w:hyperlink r:id="rId15">
        <w:r>
          <w:rPr>
            <w:color w:val="0000EE"/>
            <w:u w:val="single"/>
          </w:rPr>
          <w:t>https://www.deloitte.com/us/en/insights/industry/manufacturing-industrial-products/managing-supply-chains-amid-tariffs.html</w:t>
        </w:r>
      </w:hyperlink>
      <w:r>
        <w:t xml:space="preserve"> - Deloitte’s analysis examines how rising tariffs and policy shifts compel manufacturers to rebalance cost‑efficiency with resilience. It assesses tariff scenarios, mapping supply‑chain exposure and estimating added costs to help firms decide when reshoring or nearshoring becomes viable. The report advocates rigorous supply‑chain mapping, multiscenario modelling, duty‑classification diligence and investment in digital tools such as simulation and visibility platforms. Deloitte warns smaller firms may struggle with abrupt tariff shocks and highlights workforce and capital considerations for reshoring. The guidance underscores scenario planning and actionable steps — from tariff forecasting to investment in automation — to mitigate trade volatility and sustain operations.</w:t>
      </w:r>
      <w:r/>
    </w:p>
    <w:p>
      <w:pPr>
        <w:pStyle w:val="ListNumber"/>
        <w:spacing w:line="240" w:lineRule="auto"/>
        <w:ind w:left="720"/>
      </w:pPr>
      <w:r/>
      <w:hyperlink r:id="rId16">
        <w:r>
          <w:rPr>
            <w:color w:val="0000EE"/>
            <w:u w:val="single"/>
          </w:rPr>
          <w:t>https://www.bcg.com/publications/2024/shifting-dynamics-of-nearshoring-in-mexico</w:t>
        </w:r>
      </w:hyperlink>
      <w:r>
        <w:t xml:space="preserve"> - BCG’s analysis of nearshoring in Mexico outlines the opportunities and constraints of relocating manufacturing closer to North American markets. The report notes Mexico’s advantages: geographic proximity, established industrial clusters and growing foreign direct investment, while cautioning about rising labour costs, infrastructure limits and regulatory uncertainty. BCG discusses how nearshoring can shorten lead times, reduce tariff exposure and improve responsiveness for sectors including medical devices and pharmaceuticals. It recommends targeted investments, skills development and logistics upgrades to capture benefits. The piece frames nearshoring as one practical element within broader diversification strategies such as friend‑shoring and dual‑sourcing over the medium term,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future-proof-pharma-imports-strategies-2025/" TargetMode="External"/><Relationship Id="rId11" Type="http://schemas.openxmlformats.org/officeDocument/2006/relationships/hyperlink" Target="https://www.reuters.com/business/healthcare-pharmaceuticals/amcham-china-president-says-pharma-companies-have-reported-tariff-exemptions-2025-04-25/" TargetMode="External"/><Relationship Id="rId12" Type="http://schemas.openxmlformats.org/officeDocument/2006/relationships/hyperlink" Target="https://www.washingtonpost.com/health/2025/04/11/tariffs-pharmaceuticals-china-heparin/" TargetMode="External"/><Relationship Id="rId13" Type="http://schemas.openxmlformats.org/officeDocument/2006/relationships/hyperlink" Target="https://www.fda.gov/industry/fda-import-process/entry-screening-systems-and-tools" TargetMode="External"/><Relationship Id="rId14" Type="http://schemas.openxmlformats.org/officeDocument/2006/relationships/hyperlink" Target="https://www.atlanticcouncil.org/in-depth-research-reports/issue-brief/our-guide-to-friend-shoring-sectors-to-watch/" TargetMode="External"/><Relationship Id="rId15" Type="http://schemas.openxmlformats.org/officeDocument/2006/relationships/hyperlink" Target="https://www.deloitte.com/us/en/insights/industry/manufacturing-industrial-products/managing-supply-chains-amid-tariffs.html" TargetMode="External"/><Relationship Id="rId16" Type="http://schemas.openxmlformats.org/officeDocument/2006/relationships/hyperlink" Target="https://www.bcg.com/publications/2024/shifting-dynamics-of-nearshoring-in-mex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