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Choose an RPM partner that matches your clinical goals, not a click‑bait list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Lists that promise to be a quick route to “the best” remote patient monitoring (RPM) vendor are, unsurprisingly, rarely the last word. According to a company blog setting out a purchaser’s checklist, many of those round‑ups read like infomercials — often written or influenced by the vendors being ranked — and too frequently reflect marketing priorities rather than the clinical, operational and compliance needs of purchasers. The blog’s central argument is simple and hard to overstate: the right RPM partner is the one that matches your organisation’s clinical goals, workflows and risk posture, not the one that tops a click‑bait list.</w:t>
      </w:r>
      <w:r/>
    </w:p>
    <w:p>
      <w:r/>
      <w:r>
        <w:t>That practical, sceptical stance sits well with the broader regulatory and evidence landscape that providers must now navigate. The federal rule‑making that governs Medicare billing has been tightened and clarified in recent years: the calendar‑year 2024 Physician Fee Schedule final rule, published in the Federal Register on 16 November 2023, spells out payment policies and specific CPT codes used for RPM and related services, and sets expectations for documentation, data collection and the frequency of monitoring. In short, billing RPM is not a set‑and‑forget revenue stream; it requires precise coding, documented patient consent and workflows designed to generate audit‑ready records. According to that guidance, programmes must show they meet the components and time‑based thresholds that underpin reimbursement — the details that will determine whether a claim is appropriate or vulnerable to challenge.</w:t>
      </w:r>
      <w:r/>
    </w:p>
    <w:p>
      <w:r/>
      <w:r>
        <w:t>Those concerns are not hypothetical. A 2024 report from the HHS Office of Inspector General found that Medicare use of RPM surged between 2019 and 2022, and in that rapid expansion it identified gaps in oversight, questions about whether beneficiaries received all required RPM components, and potential fraud vulnerabilities. The OIG recommended clearer claim‑level ordering information, better identification of the types of monitored health data, and targeted education and monitoring of providers and vendors. CMS has partially agreed with those recommendations. For purchasers, the implication is plain: choose partners and build processes that prioritise documentation, clear ordering practices and transparent billing so your programme can withstand scrutiny.</w:t>
      </w:r>
      <w:r/>
    </w:p>
    <w:p>
      <w:r/>
      <w:r>
        <w:t>Privacy and security are an equal part of that equation. The HHS Office for Civil Rights’ telehealth guidance makes clear that covered entities remain responsible for protecting patients’ protected health information when services are delivered remotely. That means business associate agreements, risk analyses, encryption and access controls are not optional items to tack on later; they must be embedded in vendor contracts and day‑to‑day operations. If a vendor downplays these obligations, that’s a red flag — and a potential legal and reputational liability for the organisation that relies on them.</w:t>
      </w:r>
      <w:r/>
    </w:p>
    <w:p>
      <w:r/>
      <w:r>
        <w:t>Practical programme design choices also have real operational consequences. One of the recurring trade‑offs purchasers face is device connectivity. Industry commentary comparing Bluetooth and cellular devices highlights the familiar trade‑offs: Bluetooth models are often less expensive and allow greater device choice, but they depend on patient‑owned smartphones or hubs and can increase setup complexity and support burdens. Cellular devices tend to be more plug‑and‑play and reduce pairing failures — a significant advantage for older or less tech‑savvy populations — but they typically carry higher per‑device costs and rely on mobile coverage. Which option is right will depend on the patient cohort you serve, your support capacity and the logistics of device distribution and returns.</w:t>
      </w:r>
      <w:r/>
    </w:p>
    <w:p>
      <w:r/>
      <w:r>
        <w:t>Tools exist to make that vendor selection process less haphazard. The California Telehealth Resource Center, for example, publishes a vendor selection toolkit that translates high‑level priorities into concrete evaluation criteria: device choice and logistics, interoperability with electronic health records, pricing and contracting models, implementation support, scalability and evidence of clinical outcomes. That kind of structured approach — engage stakeholders, pilot the solution, and document workflows before wide deployment — aligns closely with the checklist the company blog recommends and helps ensure that decisions are driven by performance and fit, not by glossy collateral.</w:t>
      </w:r>
      <w:r/>
    </w:p>
    <w:p>
      <w:r/>
      <w:r>
        <w:t>What about the clinical case for RPM? A systematic review synthesising randomised and observational studies reports generally favourable—but mixed—findings: improved patient engagement, reductions in hospital days in some trials, and potential cost savings for chronic disease management. The authors emphasise heterogeneity in study designs and outcomes, and they call for more standardised reporting and higher‑quality trials before claiming universal effectiveness. In other words, RPM shows promise, but success depends on choosing appropriate patient populations, integrating monitoring into clinical workflows and tracking meaningful outcomes — not simply deploying devices and waiting for benefits to accrue.</w:t>
      </w:r>
      <w:r/>
    </w:p>
    <w:p>
      <w:r/>
      <w:r>
        <w:t>Those threads — regulation, oversight risk, privacy obligations, device logistics and an equivocal but hopeful evidence base — all flow into the practical questions a purchaser should ask. The blog’s ten‑point checklist mirrors these concerns: define the services you want to offer and match them to clinical priorities; probe implementation and day‑to‑day usability; clarify device and connectivity options and support pathways; insist on embedded compliance and audit‑ready procedures; understand billing automation and the vendor’s role in reconciliation; confirm the vendor’s ability to scale without service degradation; demand transparent reporting; verify support and escalation processes; evaluate experience across related care management programmes; and, crucially, speak with comparable customers.</w:t>
      </w:r>
      <w:r/>
    </w:p>
    <w:p>
      <w:r/>
      <w:r>
        <w:t>Two further, interlocking points deserve emphasis. First, transparency matters at every stage: if a vendor hesitates to share customer references, audit logs, compliance processes or sample reports, that reticence is meaningful. Second, build for verification from day one: insist on demonstrable workflows that produce the documentation auditors will ask for (orders, consent forms, time‑based treatment records and device provisioning logs), and pilot the programme with realistic monitoring of costs, adherence and clinical outcomes before scaling.</w:t>
      </w:r>
      <w:r/>
    </w:p>
    <w:p>
      <w:r/>
      <w:r>
        <w:t>Choosing an RPM partner is not merely a procurement exercise; it is an exercise in risk management and programme design. As the company blog warns, there is no magic shortcut — and that’s a useful corrective to the convenience of vendor rankings. A good vendor will welcome detailed, pointed questions, provide evidence of clinical and operational performance, offer transparent billing and compliance processes, and support a staged implementation with measurable KPIs. The provider’s job is to do the work up front: verify claims, test workflows, demand auditability and make patient‑population fit the deciding factor.</w:t>
      </w:r>
      <w:r/>
    </w:p>
    <w:p>
      <w:r/>
      <w:r>
        <w:t>If you adopt that posture, the outcome is likely to be durable: a programme that integrates with clinical priorities, stays on the right side of evolving federal rules, protects patient data, supports clinicians rather than adding to their workload, and produces measurable outcomes. That sort of pragmatism is more valuable than any number on a curated list — and, in the current regulatory climate, it is essential if RPM is to deliver on its promise without exposing the organisation to avoidable financial, legal or clinical risk.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https://blog.prevounce.com/how-to-find-the-best-remote-patient-monitoring-company</w:t>
        </w:r>
      </w:hyperlink>
      <w:r>
        <w:t xml:space="preserve"> - Please view link - unable to able to access data</w:t>
      </w:r>
      <w:r/>
    </w:p>
    <w:p>
      <w:pPr>
        <w:pStyle w:val="ListNumber"/>
        <w:spacing w:line="240" w:lineRule="auto"/>
        <w:ind w:left="720"/>
      </w:pPr>
      <w:r/>
      <w:hyperlink r:id="rId11">
        <w:r>
          <w:rPr>
            <w:color w:val="0000EE"/>
            <w:u w:val="single"/>
          </w:rPr>
          <w:t>https://www.federalregister.gov/documents/2023/11/16/2023-24184/medicare-and-medicaid-programs-cy-2024-payment-policies-under-the-physician-fee-schedule-and-other?mc_cid=0315ba5dd7&amp;mc_eid=3de0fb2a18</w:t>
        </w:r>
      </w:hyperlink>
      <w:r>
        <w:t xml:space="preserve"> - The Federal Register CY 2024 Physician Fee Schedule final rule explains Medicare payment policies for remote physiologic monitoring (RPM) and remote therapeutic monitoring (RTM). It lists CPT codes such as 99453, 99454, 99457 and 99458, clarifies billing conditions, and discusses data collection expectations and frequency. The rule summarises regulatory history, payment valuation, and interaction with other services, and provides definitions of covered monitoring services. It is authoritative guidance for clinicians deciding how to implement and bill RPM, emphasising documentation, code usage, and policy nuances that affect reimbursement, compliance and operational design for programmes seeking sustainable remote monitoring workflows and oversight.</w:t>
      </w:r>
      <w:r/>
    </w:p>
    <w:p>
      <w:pPr>
        <w:pStyle w:val="ListNumber"/>
        <w:spacing w:line="240" w:lineRule="auto"/>
        <w:ind w:left="720"/>
      </w:pPr>
      <w:r/>
      <w:hyperlink r:id="rId12">
        <w:r>
          <w:rPr>
            <w:color w:val="0000EE"/>
            <w:u w:val="single"/>
          </w:rPr>
          <w:t>https://oig.hhs.gov/reports/all/2024/additional-oversight-of-remote-patient-monitoring-in-medicare-is-needed/</w:t>
        </w:r>
      </w:hyperlink>
      <w:r>
        <w:t xml:space="preserve"> - The HHS Office of Inspector General report examines Medicare use and billing of remote patient monitoring, identifying rapid growth between 2019 and 2022 and potential oversight gaps. It found many beneficiaries did not receive all RPM components, questioned appropriate billing practices, and flagged fraud vulnerabilities. The report recommends stronger CMS safeguards including clearer ordering information on claims, better identification of monitored health data, targeted provider education, and monitoring of companies billing RPM services. CMS partly agreed with recommendations. The document warns organisations to prioritise documentation, robust processes and transparent billing practices when implementing RPM to reduce regulatory and financial risk.</w:t>
      </w:r>
      <w:r/>
    </w:p>
    <w:p>
      <w:pPr>
        <w:pStyle w:val="ListNumber"/>
        <w:spacing w:line="240" w:lineRule="auto"/>
        <w:ind w:left="720"/>
      </w:pPr>
      <w:r/>
      <w:hyperlink r:id="rId13">
        <w:r>
          <w:rPr>
            <w:color w:val="0000EE"/>
            <w:u w:val="single"/>
          </w:rPr>
          <w:t>https://www.hhs.gov/hipaa/for-professionals/special-topics/telehealth/index.html</w:t>
        </w:r>
      </w:hyperlink>
      <w:r>
        <w:t xml:space="preserve"> - HHS Office for Civil Rights guidance on HIPAA and telehealth explains how covered entities must protect patients' protected health information when delivering remote services. It offers resources about privacy, security, patient consent and use of technology, including guidance on audio‑only telehealth and the expiration of enforcement discretion during the COVID‑19 emergency. The material encourages providers to choose compliant vendors, execute Business Associate Agreements, conduct security risk analyses and implement safeguards such as access controls and encryption. These resources are essential reading for organisations designing RPM programmes that must embed compliance into workflows and documentation to meet legal and regulatory obligations effectively.</w:t>
      </w:r>
      <w:r/>
    </w:p>
    <w:p>
      <w:pPr>
        <w:pStyle w:val="ListNumber"/>
        <w:spacing w:line="240" w:lineRule="auto"/>
        <w:ind w:left="720"/>
      </w:pPr>
      <w:r/>
      <w:hyperlink r:id="rId14">
        <w:r>
          <w:rPr>
            <w:color w:val="0000EE"/>
            <w:u w:val="single"/>
          </w:rPr>
          <w:t>https://welcome.healthsnap.io/blog/bluetooth-vs-cellular-devices-for-remote-patient-monitoring-programs</w:t>
        </w:r>
      </w:hyperlink>
      <w:r>
        <w:t xml:space="preserve"> - HealthSnap's blog compares Bluetooth and cellular devices for RPM, outlining trade‑offs important to programme design. Bluetooth devices are lower cost and allow broader device choice but require patients to pair with smartphones or hubs, which can complicate setup and increase technical support needs. Cellular devices work out of the box, reduce pairing failures and support real‑time transmission, but typically cost more and depend on mobile coverage. The article recommends matching device connectivity to patient populations and logistics, weighing ease of use against expense, and ensuring vendors support provisioning, troubleshooting and return‑to‑vendor workflows to maintain adherence and reliability.</w:t>
      </w:r>
      <w:r/>
    </w:p>
    <w:p>
      <w:pPr>
        <w:pStyle w:val="ListNumber"/>
        <w:spacing w:line="240" w:lineRule="auto"/>
        <w:ind w:left="720"/>
      </w:pPr>
      <w:r/>
      <w:hyperlink r:id="rId15">
        <w:r>
          <w:rPr>
            <w:color w:val="0000EE"/>
            <w:u w:val="single"/>
          </w:rPr>
          <w:t>https://caltrc.org/featured/rpm-vendor-selection-toolkit/</w:t>
        </w:r>
      </w:hyperlink>
      <w:r>
        <w:t xml:space="preserve"> - The California Telehealth Resource Center's RPM Vendor Selection Toolkit offers a structured approach to evaluate remote patient monitoring partners. It lists criteria including device selection, data security, EHR interoperability, pricing models, implementation and ongoing support, scalability, and clinical outcomes measurement. The toolkit provides downloadable resources to compare vendors objectively and suggests engaging stakeholders, piloting solutions, and documenting workflows before wide deployment. It emphasises matching vendor capabilities to an organisation's clinical priorities and operational capacity rather than relying on marketing claims. The resource is practical for health centres seeking to perform due diligence and choose a sustainable, compliant RPM partner today.</w:t>
      </w:r>
      <w:r/>
    </w:p>
    <w:p>
      <w:pPr>
        <w:pStyle w:val="ListNumber"/>
        <w:spacing w:line="240" w:lineRule="auto"/>
        <w:ind w:left="720"/>
      </w:pPr>
      <w:r/>
      <w:hyperlink r:id="rId16">
        <w:r>
          <w:rPr>
            <w:color w:val="0000EE"/>
            <w:u w:val="single"/>
          </w:rPr>
          <w:t>https://www.ncbi.nlm.nih.gov/pmc/articles/PMC11258279/</w:t>
        </w:r>
      </w:hyperlink>
      <w:r>
        <w:t xml:space="preserve"> - This systematic review published in a peer‑reviewed open access journal synthesises randomised and observational studies of remote patient monitoring interventions. It reports mixed but generally favourable results: improved patient engagement, reduced hospitalisation days in some trials, and potential cost‑savings for chronic disease management, while noting heterogeneity in study designs and outcomes. The review highlights better adherence and safety signals but calls for standardised reporting and robust trials to confirm clinical effectiveness across conditions. Its conclusions support cautious implementation of RPM with attention to study quality, patient selection, and integration into clinical workflows to achieve measurable benefits at scale and equity.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prevounce.com/how-to-find-the-best-remote-patient-monitoring-company" TargetMode="External"/><Relationship Id="rId11" Type="http://schemas.openxmlformats.org/officeDocument/2006/relationships/hyperlink" Target="https://www.federalregister.gov/documents/2023/11/16/2023-24184/medicare-and-medicaid-programs-cy-2024-payment-policies-under-the-physician-fee-schedule-and-other?mc_cid=0315ba5dd7&amp;mc_eid=3de0fb2a18" TargetMode="External"/><Relationship Id="rId12" Type="http://schemas.openxmlformats.org/officeDocument/2006/relationships/hyperlink" Target="https://oig.hhs.gov/reports/all/2024/additional-oversight-of-remote-patient-monitoring-in-medicare-is-needed/" TargetMode="External"/><Relationship Id="rId13" Type="http://schemas.openxmlformats.org/officeDocument/2006/relationships/hyperlink" Target="https://www.hhs.gov/hipaa/for-professionals/special-topics/telehealth/index.html" TargetMode="External"/><Relationship Id="rId14" Type="http://schemas.openxmlformats.org/officeDocument/2006/relationships/hyperlink" Target="https://welcome.healthsnap.io/blog/bluetooth-vs-cellular-devices-for-remote-patient-monitoring-programs" TargetMode="External"/><Relationship Id="rId15" Type="http://schemas.openxmlformats.org/officeDocument/2006/relationships/hyperlink" Target="https://caltrc.org/featured/rpm-vendor-selection-toolkit/" TargetMode="External"/><Relationship Id="rId16" Type="http://schemas.openxmlformats.org/officeDocument/2006/relationships/hyperlink" Target="https://www.ncbi.nlm.nih.gov/pmc/articles/PMC112582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