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rebates and IT are the make‑or‑break of post‑deal value capture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Over the past decade M&amp;A has remained a central plank of corporate strategy — a way to gain customers, capacity and control of supply chains. Yet the path from signing to value realisation is littered with integration complexity. According to Enable’s recent company blog, headline volumes of transactions have proven more resilient than deal value in some periods, even as overall market dynamics ebb and flow. The site points to historical figures and argues that procurement is often the make‑or‑break function in converting deal promises into tangible savings. The risk, the blog suggests, is that messy contracts, competing units of measure and patchwork IT landscapes can rapidly erode the synergies that drove the acquisition in the first place.</w:t>
      </w:r>
      <w:r/>
    </w:p>
    <w:p>
      <w:r/>
      <w:r>
        <w:t>There is a strong body of independent analysis that underlines that case. McKinsey has long argued that procurement can account for a third or more of the potential synergies in many deals, and that early procurement involvement in due diligence and rapid capture of savings in the first year after close materially improves outcomes. The consultancy recommends tailoring the capture plan to the deal — using price realignment, scale leverage, sourcing strategy and demand management as levers — and cautions that practical, short‑term wins help set the pace for wider integration.</w:t>
      </w:r>
      <w:r/>
    </w:p>
    <w:p>
      <w:r/>
      <w:r>
        <w:t>Practical obstacles are familiar and persistent. Many companies emerge from transactions with multiple ERPs, differing product and packaging units, and overlapping but inconsistent rebate and discount programmes. The UK Office for National Statistics, when publishing earlier M&amp;A tallies, has emphasised the volatility of aggregated figures and warned that headline totals often mask the uneven timing and composition of underlying transactions. Boston Consulting Group’s global M&amp;A reporting from 2024 also stressed an uneven recovery in deal activity: regulatory scrutiny, sectoral variation and geopolitical risk mean buyers often pursue smaller, more tactical deals — a pattern that keeps deal counts alive even as megadeal value softens.</w:t>
      </w:r>
      <w:r/>
    </w:p>
    <w:p>
      <w:r/>
      <w:r>
        <w:t>Why rebates and rebates systems matter Rebate and incentive programmes are not a peripheral accounting nuisance; they are commercial architecture. Tiered discounts, growth incentives, volume rebates and conditional thresholds combine to make “net‑net” pricing a moving target. Where spreadsheets and standard ERP modules struggle to represent conditional or multi‑tiered deals, errors can accumulate in accruals, forecasting and supplier settlements. Vistex, a vendor that specialises in incentive and rebate automation, highlights how automated accruals, eligibility tracking and lifecycle visibility reduce error, improve gross‑to‑net forecasting and speed settlement — outcomes that directly affect working capital and supplier trust.</w:t>
      </w:r>
      <w:r/>
    </w:p>
    <w:p>
      <w:r/>
      <w:r>
        <w:t>Enable’s blog sets out one response to these problems: specialist rebate management software that models complex contracts, ingests historic purchasing and provides scenario analysis for consolidation versus hybrid sourcing. The company claims its platform supports more than 90 standard deal types and that features such as a DealTrack function permit continuous upload of live purchasing data to improve forecasts. Taken at face value, those capabilities address several well‑known pain points — contract modelling, forecasting and the ability to compare alternative procurement strategies across locations and product lines. It is important to note, however, that such vendor claims should be validated in each integration context: different sectors, ERPs and supplier ecosystems impose different technical and commercial constraints.</w:t>
      </w:r>
      <w:r/>
    </w:p>
    <w:p>
      <w:r/>
      <w:r>
        <w:t>The IT and data integration challenge Technology is often the gating factor. MuleSoft’s guidance on M&amp;A IT integration is blunt: merging disparate ERPs, CRMs and finance systems risks data silos, duplicate records and inconsistent processes unless the work is prioritised and governed. The recommended approach is not immediate rip‑and‑replace but a pragmatic mix of integration layers, APIs and phased migrations, with clear governance, compliance and security guardrails. That approach both protects day‑to‑day continuity and gives procurement teams unified access to contracts, pricing and supplier performance — the raw material of any successful rebate modelling effort.</w:t>
      </w:r>
      <w:r/>
    </w:p>
    <w:p>
      <w:r/>
      <w:r>
        <w:t>From a commercial perspective, the right blend of analytics and systems should also enable procurement to adopt more nuanced post‑merger strategies. McKinsey and industry practitioners warn that consolidation into a single supplier is not always optimal; hybrid sourcing — retaining multiple suppliers where regional logistics, packaging or service differences matter — can deliver better total cost outcomes. What tools bring to the table is the ability to run those comparisons quickly and with visibility into the net financial impact, rather than relying on high‑level assumptions.</w:t>
      </w:r>
      <w:r/>
    </w:p>
    <w:p>
      <w:r/>
      <w:r>
        <w:t>Practical steps for deal teams The lessons from advisory firms and vendor experience converge on a small set of practical actions:</w:t>
      </w:r>
      <w:r/>
      <w:r/>
    </w:p>
    <w:p>
      <w:pPr>
        <w:pStyle w:val="ListBullet"/>
        <w:spacing w:line="240" w:lineRule="auto"/>
        <w:ind w:left="720"/>
      </w:pPr>
      <w:r/>
      <w:r>
        <w:t>Involve procurement early in due diligence to catalogue contracts, rebates and supplier dependencies and to quantify capture opportunity within the first twelve months.</w:t>
      </w:r>
      <w:r/>
    </w:p>
    <w:p>
      <w:pPr>
        <w:pStyle w:val="ListBullet"/>
        <w:spacing w:line="240" w:lineRule="auto"/>
        <w:ind w:left="720"/>
      </w:pPr>
      <w:r/>
      <w:r>
        <w:t>Establish robust data governance: inventory systems, unit‑of‑measure mappings and master‑data reconciliation should be treated as integration priorities.</w:t>
      </w:r>
      <w:r/>
    </w:p>
    <w:p>
      <w:pPr>
        <w:pStyle w:val="ListBullet"/>
        <w:spacing w:line="240" w:lineRule="auto"/>
        <w:ind w:left="720"/>
      </w:pPr>
      <w:r/>
      <w:r>
        <w:t>Use purpose‑built modelling tools to represent complex rebate constructs and to enable scenario comparisons (consolidation versus hybrid approaches), but validate vendor claims with pilot data and integration proofs of concept.</w:t>
      </w:r>
      <w:r/>
    </w:p>
    <w:p>
      <w:pPr>
        <w:pStyle w:val="ListBullet"/>
        <w:spacing w:line="240" w:lineRule="auto"/>
        <w:ind w:left="720"/>
      </w:pPr>
      <w:r/>
      <w:r>
        <w:t>Phase IT integration using middleware or APIs to avoid business disruption, prioritising systems by business impact so procurement and finance have the visibility they need.</w:t>
      </w:r>
      <w:r/>
    </w:p>
    <w:p>
      <w:pPr>
        <w:pStyle w:val="ListBullet"/>
        <w:spacing w:line="240" w:lineRule="auto"/>
        <w:ind w:left="720"/>
      </w:pPr>
      <w:r/>
      <w:r>
        <w:t>Preserve supplier relationships through transparent reconciliation of entitlements and timelines — faster, accurate settlements reduce commercial friction and protect future negotiating leverage.</w:t>
      </w:r>
      <w:r/>
      <w:r/>
    </w:p>
    <w:p>
      <w:r/>
      <w:r>
        <w:t>What automation does not replace is judgement. Vendors such as Enable and Vistex position software as the mechanism to capture value faster and reduce error; consultancies urge a disciplined, tailored capture plan; and system integrators stress the need for a pragmatic IT migration roadmap. Successful acquirers typically combine all three: commercial clarity from procurement, validated modelling to test options, and a staged technical approach that keeps the business running.</w:t>
      </w:r>
      <w:r/>
    </w:p>
    <w:p>
      <w:r/>
      <w:r>
        <w:t>Conclusion M&amp;A will continue to be a tool for growth, but the integrity of the post‑deal integration process determines whether the promise of scale is realised. Rebate and procurement complexities are a recurring hazard — and equally, a recurring source of opportunity when addressed deliberately. Industry analysis shows that early procurement engagement, disciplined data governance, and the selective use of specialist modelling and automation can double the value extracted from procurement synergies over time. Vendors offer capability; advisers prescribe sequencing; IT specialists enable continuity. The challenge for dealmakers is to marshal all three and to treat rebate management not as an administrative afterthought but as a core engine of post‑merger value capture.</w:t>
      </w:r>
      <w:r/>
    </w:p>
    <w:p>
      <w:r/>
      <w:r>
        <w:t>(Enable’s blog invites readers to explore its platform and schedule demonstrations; organisations should weigh such vendor demonstrations alongside independent pilots and integration assessments before committing to a single solution.)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https://www.enable.com/blog/managing-b2b-deals-post-merger-and-acquisition</w:t>
        </w:r>
      </w:hyperlink>
      <w:r>
        <w:t xml:space="preserve"> - Please view link - unable to able to access data</w:t>
      </w:r>
      <w:r/>
    </w:p>
    <w:p>
      <w:pPr>
        <w:pStyle w:val="ListNumber"/>
        <w:spacing w:line="240" w:lineRule="auto"/>
        <w:ind w:left="720"/>
      </w:pPr>
      <w:r/>
      <w:hyperlink r:id="rId10">
        <w:r>
          <w:rPr>
            <w:color w:val="0000EE"/>
            <w:u w:val="single"/>
          </w:rPr>
          <w:t>https://www.enable.com/blog/managing-b2b-deals-post-merger-and-acquisition</w:t>
        </w:r>
      </w:hyperlink>
      <w:r>
        <w:t xml:space="preserve"> - Enable’s blog explains the procurement challenges that arise after mergers and acquisitions and the importance of specialist rebate management. It cites historical M&amp;A figures and describes how acquired firms often inherit disparate contracts, different units of measure and complex tiered rebate programmes that spreadsheets and many ERPs cannot model. The article outlines how a rebate platform can model over ninety deal types, upload historical purchasing data and forecast requirements using a DealTrack feature, allowing businesses to compare consolidation and hybrid sourcing approaches. It argues that centralised rebate management improves visibility, preserves supplier relationships and helps realise post‑merger cost synergies efficiently.</w:t>
      </w:r>
      <w:r/>
    </w:p>
    <w:p>
      <w:pPr>
        <w:pStyle w:val="ListNumber"/>
        <w:spacing w:line="240" w:lineRule="auto"/>
        <w:ind w:left="720"/>
      </w:pPr>
      <w:r/>
      <w:hyperlink r:id="rId11">
        <w:r>
          <w:rPr>
            <w:color w:val="0000EE"/>
            <w:u w:val="single"/>
          </w:rPr>
          <w:t>https://www.mckinsey.com/capabilities/m-and-a/our-insights/using-m-and-a-to-transform-procurement</w:t>
        </w:r>
      </w:hyperlink>
      <w:r>
        <w:t xml:space="preserve"> - McKinsey’s analysis highlights procurement as a source of value in mergers and acquisitions, often accounting for a third or more of potential synergies. The paper emphasises early procurement involvement in due diligence and rapid capture of savings within the first year after deal close. It outlines practical levers—price alignment, scale leverage, sourcing strategy and demand management—and recommends tailoring synergy capture to the specific deal. McKinsey argues that focusing on procurement can double the value extracted over time and reduce reliance on workforce reductions, while setting the pace for broader integration by delivering tangible, near‑term financial benefits that underpin merger success</w:t>
      </w:r>
      <w:r/>
    </w:p>
    <w:p>
      <w:pPr>
        <w:pStyle w:val="ListNumber"/>
        <w:spacing w:line="240" w:lineRule="auto"/>
        <w:ind w:left="720"/>
      </w:pPr>
      <w:r/>
      <w:hyperlink r:id="rId12">
        <w:r>
          <w:rPr>
            <w:color w:val="0000EE"/>
            <w:u w:val="single"/>
          </w:rPr>
          <w:t>https://www.ons.gov.uk/businessindustryandtrade/changestobusiness/mergersandacquisitions/articles/ukmergersandacquisitionsactivityincontext/2016</w:t>
        </w:r>
      </w:hyperlink>
      <w:r>
        <w:t xml:space="preserve"> - The UK Office for National Statistics provides an annual overview of mergers and acquisitions involving UK companies, detailing inward, outward and domestic transactions and their values. The 2016 release notes record highs in inward M&amp;A value and highlights year‑on‑year volatility driven by a handful of large deals. The report cautions against linking M&amp;A totals directly to near‑term economic events and explains how completed deals reflect decisions made earlier. It offers breakdowns by partner geography, domestic versus inward activity, and contextual analysis that helps interpret earlier figures such as the notable 2015 totals quoted in market commentary and methodological caveats included.</w:t>
      </w:r>
      <w:r/>
    </w:p>
    <w:p>
      <w:pPr>
        <w:pStyle w:val="ListNumber"/>
        <w:spacing w:line="240" w:lineRule="auto"/>
        <w:ind w:left="720"/>
      </w:pPr>
      <w:r/>
      <w:hyperlink r:id="rId13">
        <w:r>
          <w:rPr>
            <w:color w:val="0000EE"/>
            <w:u w:val="single"/>
          </w:rPr>
          <w:t>https://www.bcg.com/press/16october2024-global-m-a-market-picks-up-but-recovery-remains-uneven</w:t>
        </w:r>
      </w:hyperlink>
      <w:r>
        <w:t xml:space="preserve"> - Boston Consulting Group’s press release and Global M&amp;A report describe uneven recovery in the M&amp;A market, noting regional differences and a modest rebound in deal value and volume through 2024. BCG reports that while some sectors and geographies led recovery, regulatory scrutiny and geopolitical risks delayed many transactions. The analysis highlights reductions in megadeals, shifting contributions from private equity and corporate buyers, and advises dealmakers to expect an uneven path to normalisation. Their findings support the Enable article’s broader point that deal activity can persist despite value fluctuations and increased caution among buyers while number of deals may remain resilient.</w:t>
      </w:r>
      <w:r/>
    </w:p>
    <w:p>
      <w:pPr>
        <w:pStyle w:val="ListNumber"/>
        <w:spacing w:line="240" w:lineRule="auto"/>
        <w:ind w:left="720"/>
      </w:pPr>
      <w:r/>
      <w:hyperlink r:id="rId14">
        <w:r>
          <w:rPr>
            <w:color w:val="0000EE"/>
            <w:u w:val="single"/>
          </w:rPr>
          <w:t>https://www.mulesoft.com/resources/cloudhub/mergers-acquisitions-it-integration</w:t>
        </w:r>
      </w:hyperlink>
      <w:r>
        <w:t xml:space="preserve"> - MuleSoft’s resource on M&amp;A IT integration explains the technical and organisational challenges of merging disparate systems, including ERP, CRM and finance platforms. It stresses the risks of data silos, duplicate customer records and inconsistent processes, and recommends using integration platforms, middleware and phased migration to preserve continuity. The guide emphasises data governance, compliance and security during consolidation, plus clear prioritisation of systems by business impact. MuleSoft highlights that careful planning, APIs and integration layers can reduce disruption, enable unified visibility across the combined enterprise and help procurement teams access consistent pricing, contracts and supplier data after a merger for stakeholders.</w:t>
      </w:r>
      <w:r/>
    </w:p>
    <w:p>
      <w:pPr>
        <w:pStyle w:val="ListNumber"/>
        <w:spacing w:line="240" w:lineRule="auto"/>
        <w:ind w:left="720"/>
      </w:pPr>
      <w:r/>
      <w:hyperlink r:id="rId15">
        <w:r>
          <w:rPr>
            <w:color w:val="0000EE"/>
            <w:u w:val="single"/>
          </w:rPr>
          <w:t>https://www.vistex.com/solutions/rebate-management</w:t>
        </w:r>
      </w:hyperlink>
      <w:r>
        <w:t xml:space="preserve"> - Vistex’s rebate management solution page outlines the benefits of automating complex B2B rebate and incentive programmes. The vendor explains how automated accruals, tier tracking and eligibility calculations reduce errors and improve gross‑to‑net forecasting. Vistex describes handling sales and purchasing rebates, special pricing agreements, growth and volume incentives, and integrated financial postings inside ERP systems such as SAP. The page stresses lifecycle visibility, faster settlement, improved partner transparency and the ability to model multiple programme types. It positions rebate automation as a way to reclaim unrealised earnings, enhance pricing discipline and free finance and procurement teams from error‑prone spreadsheet workflows altogether.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able.com/blog/managing-b2b-deals-post-merger-and-acquisition" TargetMode="External"/><Relationship Id="rId11" Type="http://schemas.openxmlformats.org/officeDocument/2006/relationships/hyperlink" Target="https://www.mckinsey.com/capabilities/m-and-a/our-insights/using-m-and-a-to-transform-procurement" TargetMode="External"/><Relationship Id="rId12" Type="http://schemas.openxmlformats.org/officeDocument/2006/relationships/hyperlink" Target="https://www.ons.gov.uk/businessindustryandtrade/changestobusiness/mergersandacquisitions/articles/ukmergersandacquisitionsactivityincontext/2016" TargetMode="External"/><Relationship Id="rId13" Type="http://schemas.openxmlformats.org/officeDocument/2006/relationships/hyperlink" Target="https://www.bcg.com/press/16october2024-global-m-a-market-picks-up-but-recovery-remains-uneven" TargetMode="External"/><Relationship Id="rId14" Type="http://schemas.openxmlformats.org/officeDocument/2006/relationships/hyperlink" Target="https://www.mulesoft.com/resources/cloudhub/mergers-acquisitions-it-integration" TargetMode="External"/><Relationship Id="rId15" Type="http://schemas.openxmlformats.org/officeDocument/2006/relationships/hyperlink" Target="https://www.vistex.com/solutions/rebate-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