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become a competitive weapon as electronics industry reshuffles advantages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electronics industry that hurried consumer gadgets, industrial kit and defence systems along global value chains has been forced to confront a stark reality: the supply chain is now a strategic front, not a back‑office cost centre. Sebastian Schaal, co‑founder and managing director at Luminovo, argues in EMSNow that “the supply chain is no longer an afterthought — it’s a competitive weapon.” That diagnosis captures the strain felt across original equipment manufacturers (OEMs), electronics manufacturing services (EMS) providers and printed‑circuit‑board (PCB) makers — but the pain is uneven, and the remedies are not one‑size‑fits‑all.</w:t>
      </w:r>
      <w:r/>
    </w:p>
    <w:p>
      <w:r/>
      <w:r>
        <w:t>Why the strain is wider and deeper than it looks The past half‑decade revealed multiple, overlapping drivers that turned routine disruptions into systemic risk. A McKinsey analysis of the semiconductor bottleneck points to surging demand, pandemic shocks and highly concentrated fab capacity; when fabs run near full utilisation, lead times lengthen and a single specialised die can stall entire product lines. At the same time, the International Energy Agency warns that the clean‑energy transition will sharply increase demand for critical minerals — lithium, nickel, copper and rare earths — exposing new upstream chokepoints unless major mining and processing investments materialise.</w:t>
      </w:r>
      <w:r/>
    </w:p>
    <w:p>
      <w:r/>
      <w:r>
        <w:t>Transport has amplified those pressures. The International Monetary Fund’s work on post‑pandemic freight markets shows how soaring container rates and port congestion transmitted higher costs into producer and consumer prices, with effects that persisted for months. For PCBs specifically, trade press reporting from the sector documents double‑digit supplier price increases for copper foil, resin, glass‑fibre and surface finishes — a raw‑material shock that directly compresses margins for boardmakers and their buyers.</w:t>
      </w:r>
      <w:r/>
    </w:p>
    <w:p>
      <w:r/>
      <w:r>
        <w:t>Geopolitics has changed the map, not erased it. Research from the Centre for Economic Policy Research finds that talk of wholesale US‑China decoupling overstates the case; what is real, however, is targeted “de‑risking” and regionalisation in strategic technology segments. The result is more diversification and some relocation of capacity — but also higher policy complexity and costs for firms that must navigate export controls, tariffs and local content demands.</w:t>
      </w:r>
      <w:r/>
    </w:p>
    <w:p>
      <w:r/>
      <w:r>
        <w:t>How the three tiers fare — and why OEMs: highest strategic exposure OEMs bear ultimate commercial risk: if products cannot ship, revenue and market position suffer. Component shortages, long semiconductor lead times and sudden part obsolescence have forced continuous design work‑arounds and delayed launches. McKinsey’s semiconductor study recommends that OEMs pair near‑term mitigations — inventory buffers, contractual commitments and multi‑sourcing — with multi‑year bets such as co‑investment in fabs, sustained R&amp;D and talent development. The trade‑off is clear: short‑term fixes buy breathing room, but durable resilience requires capital and time.</w:t>
      </w:r>
      <w:r/>
    </w:p>
    <w:p>
      <w:r/>
      <w:r>
        <w:t>EMS providers: the shock absorbers under pressure EMS firms sit at the executional centre. They must meet volatile BOMs, shortened turnarounds and higher operating costs while lacking full upstream visibility. Schaal describes EMS providers as the industry’s “shock absorbers” — which is accurate, but that role now demands deeper digital supply‑chain intelligence. McKinsey’s Supply Chain 4.0 research shows how analytics, predictive planning and connected processes can turn visibility into agility; EMS companies that adopt real‑time demand‑supply balancing, automated alternative‑part validation and closer forecasting collaboration with OEMs reduce execution risk and protect cashflow.</w:t>
      </w:r>
      <w:r/>
    </w:p>
    <w:p>
      <w:r/>
      <w:r>
        <w:t>PCB manufacturers: margin squeeze, but niches win PCB makers are squeezed between rising input costs and downstream speed and quality expectations. Reporting from the PCB trade highlights steep material price rises for copper, tin and specialty laminates that make simple, commoditised boards particularly vulnerable. Yet opportunities exist: producers of high‑layer‑count, high‑speed boards and advanced packaging substrates are in stronger positions because technological complexity raises entry barriers and supports higher margins. For many boardmakers, long‑term material agreements, supplier diversification and rigorous Design for Manufacturing practices are now survival tools.</w:t>
      </w:r>
      <w:r/>
    </w:p>
    <w:p>
      <w:r/>
      <w:r>
        <w:t>What works: a blended playbook of short‑ and long‑term moves The industry cannot paper over risk with inventory alone. The literature and industry commentary converge on a hybrid strategy:</w:t>
      </w:r>
      <w:r/>
      <w:r/>
    </w:p>
    <w:p>
      <w:pPr>
        <w:pStyle w:val="ListBullet"/>
        <w:spacing w:line="240" w:lineRule="auto"/>
        <w:ind w:left="720"/>
      </w:pPr>
      <w:r/>
      <w:r>
        <w:t xml:space="preserve">Dual‑sourcing and design flexibility: OEMs should co‑design for multi‑sourced components and standardise where possible to reduce single‑point failures. </w:t>
      </w:r>
      <w:r/>
    </w:p>
    <w:p>
      <w:pPr>
        <w:pStyle w:val="ListBullet"/>
        <w:spacing w:line="240" w:lineRule="auto"/>
        <w:ind w:left="720"/>
      </w:pPr>
      <w:r/>
      <w:r>
        <w:t xml:space="preserve">Co‑investment and capacity signalling: As McKinsey suggests, co‑investment in semiconductor and advanced packaging capacity — linked with long‑term offtake or strategic partnerships — helps align demand and supply for technology‑intensive nodes. </w:t>
      </w:r>
      <w:r/>
    </w:p>
    <w:p>
      <w:pPr>
        <w:pStyle w:val="ListBullet"/>
        <w:spacing w:line="240" w:lineRule="auto"/>
        <w:ind w:left="720"/>
      </w:pPr>
      <w:r/>
      <w:r>
        <w:t xml:space="preserve">Strategic inventory and contractual levers: Targeted buffer stocks and binding supplier contracts reduce short‑term volatility without reverting to inefficient blanket hoarding. </w:t>
      </w:r>
      <w:r/>
    </w:p>
    <w:p>
      <w:pPr>
        <w:pStyle w:val="ListBullet"/>
        <w:spacing w:line="240" w:lineRule="auto"/>
        <w:ind w:left="720"/>
      </w:pPr>
      <w:r/>
      <w:r>
        <w:t xml:space="preserve">Digital supply chains: Supply Chain 4.0 tools — digital twins, predictive analytics, two‑speed IT architectures and better data capture — improve forecast accuracy and speed decision‑making, enabling EMS and OEM partners to reroute demand or reconfigure production quickly. </w:t>
      </w:r>
      <w:r/>
    </w:p>
    <w:p>
      <w:pPr>
        <w:pStyle w:val="ListBullet"/>
        <w:spacing w:line="240" w:lineRule="auto"/>
        <w:ind w:left="720"/>
      </w:pPr>
      <w:r/>
      <w:r>
        <w:t xml:space="preserve">Upstream and materials strategy: PCB makers benefit from long‑term agreements for copper and laminates, strategic localisation where sensible, and investment in recycling and material substitution to blunt raw‑material scarcity flagged by the IEA. </w:t>
      </w:r>
      <w:r/>
    </w:p>
    <w:p>
      <w:pPr>
        <w:pStyle w:val="ListBullet"/>
        <w:spacing w:line="240" w:lineRule="auto"/>
        <w:ind w:left="720"/>
      </w:pPr>
      <w:r/>
      <w:r>
        <w:t>Talent and organisation: Closing the talent gap in chip design, data science and supply‑chain engineering is a multi‑year task that underpins any digital transformation.</w:t>
      </w:r>
      <w:r/>
      <w:r/>
    </w:p>
    <w:p>
      <w:r/>
      <w:r>
        <w:t>Policy choices matter — and they complicate strategy Policymakers’ push to “de‑risk” critical supply chains is understandable, but CEPR cautions that targeted decoupling can have significant economic side effects. Firms therefore face a twofold challenge: redesign supply chains to reduce vulnerabilities while lobbying for coordinated policy approaches that avoid needless fragmentation. In practice, that means combining regional diversification with selective global sourcing and clear compliance programmes to manage export controls and local content rules.</w:t>
      </w:r>
      <w:r/>
    </w:p>
    <w:p>
      <w:r/>
      <w:r>
        <w:t>The limits of technology — and the need for realistic expectations Digitalisation is powerful but not magical. McKinsey’s analysis of Supply Chain 4.0 stresses that outcomes depend on data quality, cross‑functional collaboration and the ability to scale pilots enterprise‑wide. Technology reduces error and improves agility, but it must be paired with supplier governance, contractual discipline and capital allocation for physical capacity where necessary.</w:t>
      </w:r>
      <w:r/>
    </w:p>
    <w:p>
      <w:r/>
      <w:r>
        <w:t>A competitive reshuffle, not a reset What we are seeing is less a one‑time shock than a structural reshuffle of advantages across the electronics ecosystem. Large OEMs with capital and market power are investing in vertical control and co‑investment; EMS providers that adopt real‑time, collaborative planning and parts‑qualification systems are becoming indispensable partners; and PCB manufacturers that specialise in complex, high‑value boards or secure upstream materials through long contracts are outpacing commoditised rivals.</w:t>
      </w:r>
      <w:r/>
    </w:p>
    <w:p>
      <w:r/>
      <w:r>
        <w:t>If Schaal is right to call the supply chain a competitive weapon, then firms that treat it as such — by blending immediate mitigation with patient investment, adopting digital platforms judiciously and engaging with policy realities — will lead the next cycle of innovation. Those that cling to single‑source, just‑in‑time orthodoxies risk being the disrupted rather than the disruptors.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https://www.emsnow.com/electronics-supply-chain-chaos-whos-hurt-most-oems-ems-or-pcb-makers/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https://www.mckinsey.com/industries/semiconductors/our-insights/strategies-to-lead-in-the-semiconductor-world.</w:t>
        </w:r>
      </w:hyperlink>
      <w:r>
        <w:t xml:space="preserve"> - McKinsey’s analysis explains the global semiconductor shortage as a result of surging demand, concentrated production capacity, pandemic disruptions and lengthy fab lead times. It highlights how fabs ran near full utilisation, making rapid capacity expansion impractical, and shows that a single specialised component can halt product lines. The report recommends strategies including technological leadership, sustained long‑term research, heterogeneous integration, co‑investment in capacity, improved talent pipelines and resilience measures such as inventory and contractual arrangements. It argues OEMs and suppliers must balance near‑term mitigation with multi‑year investments to secure supply sustainably and enable growth across chips, advanced packaging and niche segments.</w:t>
      </w:r>
      <w:r/>
    </w:p>
    <w:p>
      <w:pPr>
        <w:pStyle w:val="ListNumber"/>
        <w:spacing w:line="240" w:lineRule="auto"/>
        <w:ind w:left="720"/>
      </w:pPr>
      <w:r/>
      <w:hyperlink r:id="rId12">
        <w:r>
          <w:rPr>
            <w:color w:val="0000EE"/>
            <w:u w:val="single"/>
          </w:rPr>
          <w:t>https://cepr.org/voxeu/columns/us-china-decoupling-rhetoric-and-reality</w:t>
        </w:r>
      </w:hyperlink>
      <w:r>
        <w:t xml:space="preserve"> - CEPR’s analysis examines the reality behind talk of US‑China decoupling, arguing that while full economic separation is unlikely, de‑risking and targeted decoupling in strategic technology sectors are occurring. It documents a decline in China’s share of US imports since 2018, especially in tariffed and advanced technology goods, and explains how trade and investment patterns are shifting toward diversification and regionalisation. The piece warns that measures intended to protect strategic supply chains can have significant economic side effects, and calls for calibrated policies that reduce vulnerabilities without needlessly fragmenting global value chains or undermining comparative advantages. It recommends stronger international coordination.</w:t>
      </w:r>
      <w:r/>
    </w:p>
    <w:p>
      <w:pPr>
        <w:pStyle w:val="ListNumber"/>
        <w:spacing w:line="240" w:lineRule="auto"/>
        <w:ind w:left="720"/>
      </w:pPr>
      <w:r/>
      <w:hyperlink r:id="rId13">
        <w:r>
          <w:rPr>
            <w:color w:val="0000EE"/>
            <w:u w:val="single"/>
          </w:rPr>
          <w:t>https://www.iea.org/reports/the-role-of-critical-minerals-in-clean-energy-transitions/mineral-requirements-for-clean-energy-transitions</w:t>
        </w:r>
      </w:hyperlink>
      <w:r>
        <w:t xml:space="preserve"> - The International Energy Agency warns that the global transition to clean energy will dramatically increase demand for critical minerals such as lithium, nickel, copper and rare earth elements, driving potential supply shortfalls without substantial new investment. The report outlines projected growth in mineral demand to 2040, the concentration of processing and refining in a few countries, and the strategic implications for energy security and supply chains. It calls for massive capital expenditure in mining and refining capacity, improved recycling, supply‑chain diversification and policy measures to ensure secure, sustainable and resilient mineral supplies for electrification, batteries and renewable technologies and manufacturing.</w:t>
      </w:r>
      <w:r/>
    </w:p>
    <w:p>
      <w:pPr>
        <w:pStyle w:val="ListNumber"/>
        <w:spacing w:line="240" w:lineRule="auto"/>
        <w:ind w:left="720"/>
      </w:pPr>
      <w:r/>
      <w:hyperlink r:id="rId14">
        <w:r>
          <w:rPr>
            <w:color w:val="0000EE"/>
            <w:u w:val="single"/>
          </w:rPr>
          <w:t>https://www.imf.org/en/Blogs/Articles/2022/03/28/how-soaring-shipping-costs-raise-prices-around-the-world/</w:t>
        </w:r>
      </w:hyperlink>
      <w:r>
        <w:t xml:space="preserve"> - The IMF explains how soaring shipping costs since the pandemic have transmitted inflation through global supply chains, noting container freight rates surged and caused higher import and producer prices worldwide. Using empirical analysis, the blog demonstrates that freight‑rate spikes substantially increase inflation with persistent effects over many months, affecting consumer prices and production costs. The piece analyses causes such as port congestion, labour shortages and route disruptions, and warns of enduring pass‑through to domestic inflation. It recommends policymakers consider shipping‑cost dynamics when assessing inflationary pressures and firms should factor transport risk into sourcing and inventory strategies and supply chain planning.</w:t>
      </w:r>
      <w:r/>
    </w:p>
    <w:p>
      <w:pPr>
        <w:pStyle w:val="ListNumber"/>
        <w:spacing w:line="240" w:lineRule="auto"/>
        <w:ind w:left="720"/>
      </w:pPr>
      <w:r/>
      <w:hyperlink r:id="rId15">
        <w:r>
          <w:rPr>
            <w:color w:val="0000EE"/>
            <w:u w:val="single"/>
          </w:rPr>
          <w:t>https://pcdandf.com/pcdesign/index.php/current-issue/270-board-buying/18114-navigating-rising-material-costs</w:t>
        </w:r>
      </w:hyperlink>
      <w:r>
        <w:t xml:space="preserve"> - Printed Circuit Design &amp; Fab reports rising raw material costs are pressuring PCB manufacturers, citing notifications from laminate suppliers about double‑digit price increases for copper foil, tin, gold, resin and glass fibre. The article quantifies possible board price rises and warns that heavy‑copper or specialised finishes could see larger increases. It advises buyers to expect longer lead times and higher per‑board costs, and recommends proactive supplier engagement, design review, and material substitution where feasible. The piece underlines how commodity price volatility, inflation and constrained upstream capacity combine to squeeze margins and drive buyer strategies for long‑term agreements and risk management.</w:t>
      </w:r>
      <w:r/>
    </w:p>
    <w:p>
      <w:pPr>
        <w:pStyle w:val="ListNumber"/>
        <w:spacing w:line="240" w:lineRule="auto"/>
        <w:ind w:left="720"/>
      </w:pPr>
      <w:r/>
      <w:hyperlink r:id="rId16">
        <w:r>
          <w:rPr>
            <w:color w:val="0000EE"/>
            <w:u w:val="single"/>
          </w:rPr>
          <w:t>https://www.mckinsey.com/business-functions/operations/our-insights/supply-chain-40--the-next-generation-digital-supply-chain</w:t>
        </w:r>
      </w:hyperlink>
      <w:r>
        <w:t xml:space="preserve"> - McKinsey’s Supply Chain 4.0 article outlines how digital technologies transform traditional logistics into intelligent, connected networks. It identifies data capture, analytics, automation, predictive planning, and digital twins as core enablers that reduce errors and improve forecast accuracy. The consultancy describes maturity levels and a diagnostic compass to guide organisations through capability building, recommending a two‑speed IT architecture that preserves legacy systems while enabling rapid innovation. Case studies show potential gains in service, cost, capital efficiency and agility. The report stresses that success depends on data quality, cross‑functional collaboration, talent development and a clear roadmap to scale pilots into enterprise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snow.com/electronics-supply-chain-chaos-whos-hurt-most-oems-ems-or-pcb-makers/" TargetMode="External"/><Relationship Id="rId11" Type="http://schemas.openxmlformats.org/officeDocument/2006/relationships/hyperlink" Target="https://www.mckinsey.com/industries/semiconductors/our-insights/strategies-to-lead-in-the-semiconductor-world." TargetMode="External"/><Relationship Id="rId12" Type="http://schemas.openxmlformats.org/officeDocument/2006/relationships/hyperlink" Target="https://cepr.org/voxeu/columns/us-china-decoupling-rhetoric-and-reality" TargetMode="External"/><Relationship Id="rId13" Type="http://schemas.openxmlformats.org/officeDocument/2006/relationships/hyperlink" Target="https://www.iea.org/reports/the-role-of-critical-minerals-in-clean-energy-transitions/mineral-requirements-for-clean-energy-transitions" TargetMode="External"/><Relationship Id="rId14" Type="http://schemas.openxmlformats.org/officeDocument/2006/relationships/hyperlink" Target="https://www.imf.org/en/Blogs/Articles/2022/03/28/how-soaring-shipping-costs-raise-prices-around-the-world/" TargetMode="External"/><Relationship Id="rId15" Type="http://schemas.openxmlformats.org/officeDocument/2006/relationships/hyperlink" Target="https://pcdandf.com/pcdesign/index.php/current-issue/270-board-buying/18114-navigating-rising-material-costs" TargetMode="External"/><Relationship Id="rId16" Type="http://schemas.openxmlformats.org/officeDocument/2006/relationships/hyperlink" Target="https://www.mckinsey.com/business-functions/operations/our-insights/supply-chain-40--the-next-generation-digit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