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Outside Counsel Guidelines evolve as AI, DEI, and transparency reshape legal partnerships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Outside Counsel Guidelines (OCGs) have evolved far beyond traditional billing frameworks to become dynamic, strategic tools that align legal teams with corporate values, risk tolerance, and operational expectations. General Counsel (GCs) hold ultimate responsibility for ensuring OCGs reflect these core tenets while meeting contemporary challenges such as artificial intelligence (AI) adoption, diversity, equity, and inclusion (DEI) commitments, and precise timekeeping practices.</w:t>
      </w:r>
      <w:r/>
    </w:p>
    <w:p>
      <w:r/>
      <w:r>
        <w:t>A central focus in today’s legal landscape is the responsible integration of AI into outside counsel work. While AI offers transformative efficiencies—from document drafting to legal research and advisory functions—it demands careful governance to balance innovation with ethical and legal standards. Corporations are increasingly embedding AI use provisions in their OCGs, reflecting a growing consensus that any AI implementation must protect confidential client information and comply with data security protocols. For example, many guidelines forbid uploading sensitive or classified information, including client data and personally identifiable information, to public AI platforms. This safeguards against breaches while maintaining professional and ethical boundaries.</w:t>
      </w:r>
      <w:r/>
    </w:p>
    <w:p>
      <w:r/>
      <w:r>
        <w:t>Further, counsel must rigorously verify the accuracy, legality, and reliability of AI-generated outputs, acknowledging the tools’ limitations and ensuring consistency with prevailing laws and precedents. Training for outside counsel in AI’s capabilities, risks, and proper application is deemed essential. Periodic review and updates of AI-related OCG clauses ensure alignment with evolving technological and regulatory developments. Industry standards, such as those from the Association of Corporate Counsel (ACC), provide frameworks that bolster this responsible approach by highlighting key AI governance principles including disclosure, data security, and performance management.</w:t>
      </w:r>
      <w:r/>
    </w:p>
    <w:p>
      <w:r/>
      <w:r>
        <w:t>In parallel, the incorporation of DEI provisions in OCGs has become a nuanced and carefully considered aspect. Recent federal executive orders that reduce emphasis on policies rooted in disparate-impact liability have caused some organisations to reconsider or even remove DEI language from their guidelines. However, rather than abandoning DEI efforts, many legal teams are recalibrating these provisions to ensure they are intentional, defensible, and reflective of authentic corporate values and strategic business objectives. This recalibration encourages companies to replace generic or boilerplate language with meaningful guidelines grounded in ethics and aligned with their unique culture and goals.</w:t>
      </w:r>
      <w:r/>
    </w:p>
    <w:p>
      <w:r/>
      <w:r>
        <w:t>Timekeeping has also undergone a critical transformation within OCG practices, evolving from a simple billing function to a trust-building mechanism integral to transparency and value demonstration. Legal departments now demand more detailed and precise time entries that clearly articulate the work performed, its purpose, and the impact on the matter at hand. Vague entries such as “reviewed documents” or “conference call” fall short of expectations, while comprehensive descriptions support better internal reporting, budgeting, and justification of legal spend to finance and business stakeholders. The prohibition of block billing—where multiple tasks are lumped into single entries—is an increasing trend to promote accountability and enable granular cost assessment.</w:t>
      </w:r>
      <w:r/>
    </w:p>
    <w:p>
      <w:r/>
      <w:r>
        <w:t>The strategic use of OCGs provides a competitive edge in law firm-client relationships, signalling professionalism, operational discipline, and alignment with client expectations. Firms that embrace these guidelines as more than administrative formalities—leveraging them as tools to foster trust, demonstrate value, and deepen partnerships—stand to secure more work and thrive in a crowded market.</w:t>
      </w:r>
      <w:r/>
    </w:p>
    <w:p>
      <w:r/>
      <w:r>
        <w:t>Insights from industry leaders echo this strategic vision. For instance, law firms and technology providers leverage AI-powered tools to automate OCG compliance checks, improving billing accuracy and mitigating risk. Such innovations offer a path toward continuous enhancement of legal service delivery, harmonising manual oversight with intelligent automation.</w:t>
      </w:r>
      <w:r/>
    </w:p>
    <w:p>
      <w:r/>
      <w:r>
        <w:t>Moreover, experts stress the importance of holistic AI governance policies within legal departments, incorporating risk and impact assessments, transparency measures, and ethical frameworks to safeguard attorney-client privilege and maintain public trust. These principles reflect a broader commitment to responsible and human-centric AI adoption that balances innovation with oversight.</w:t>
      </w:r>
      <w:r/>
    </w:p>
    <w:p>
      <w:r/>
      <w:r>
        <w:t>Finally, the emergence of generative AI also offers new opportunities for deepening engagement between legal departments and outside counsel. Enhanced communication strategies and collaborative technologies can reshape traditional service delivery models, addressing long-standing challenges around speed, quality, and cost.</w:t>
      </w:r>
      <w:r/>
    </w:p>
    <w:p>
      <w:r/>
      <w:r>
        <w:t>In sum, Outside Counsel Guidelines today serve as strategic levers, embedding technological, ethical, and operational expectations that resonate with the broader corporate mission. GCs and their teams who proactively refine these guidelines around AI, DEI, and timekeeping not only manage risk but build enduring value and stronger client relationships in an evolving legal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https://www.jdsupra.com/legalnews/outside-counsel-guidelines-built-to-4681284/</w:t>
        </w:r>
      </w:hyperlink>
      <w:r>
        <w:t xml:space="preserve"> - Please view link - unable to able to access data</w:t>
      </w:r>
      <w:r/>
    </w:p>
    <w:p>
      <w:pPr>
        <w:pStyle w:val="ListNumber"/>
        <w:spacing w:line="240" w:lineRule="auto"/>
        <w:ind w:left="720"/>
      </w:pPr>
      <w:r/>
      <w:hyperlink r:id="rId11">
        <w:r>
          <w:rPr>
            <w:color w:val="0000EE"/>
            <w:u w:val="single"/>
          </w:rPr>
          <w:t>https://www.acc.com/resource-library/sample-artificial-intelligence-ai-guidelines-outside-counsel</w:t>
        </w:r>
      </w:hyperlink>
      <w:r>
        <w:t xml:space="preserve"> - The Association of Corporate Counsel (ACC) provides sample guidelines for outside counsel's use of artificial intelligence (AI) technologies. These guidelines cover aspects such as disclosure, data security, accuracy, and performance, aiming to ensure that AI adoption aligns with legal and ethical standards. The resource is accessible to ACC members and offers a framework for integrating AI responsibly within legal practices.</w:t>
      </w:r>
      <w:r/>
    </w:p>
    <w:p>
      <w:pPr>
        <w:pStyle w:val="ListNumber"/>
        <w:spacing w:line="240" w:lineRule="auto"/>
        <w:ind w:left="720"/>
      </w:pPr>
      <w:r/>
      <w:hyperlink r:id="rId12">
        <w:r>
          <w:rPr>
            <w:color w:val="0000EE"/>
            <w:u w:val="single"/>
          </w:rPr>
          <w:t>https://simplexbi.com/blog/mastering-time-entry-and-outside-counsel-guidelines-a-roadmap-to-legal-revenue-optimization/</w:t>
        </w:r>
      </w:hyperlink>
      <w:r>
        <w:t xml:space="preserve"> - This article discusses how artificial intelligence (AI) is transforming the management and implementation of outside counsel guidelines (OCGs) in law firms. It highlights the use of AI-powered tools to automate the review and analysis of OCGs, ensuring compliance and mitigating risks. The piece also emphasizes the importance of AI in enhancing billing processes, facilitating customization and standardization, and supporting continuous improvement in legal practices.</w:t>
      </w:r>
      <w:r/>
    </w:p>
    <w:p>
      <w:pPr>
        <w:pStyle w:val="ListNumber"/>
        <w:spacing w:line="240" w:lineRule="auto"/>
        <w:ind w:left="720"/>
      </w:pPr>
      <w:r/>
      <w:hyperlink r:id="rId13">
        <w:r>
          <w:rPr>
            <w:color w:val="0000EE"/>
            <w:u w:val="single"/>
          </w:rPr>
          <w:t>https://brightflag.com/resources/tips-for-creating-outside-counsel-guidelines/</w:t>
        </w:r>
      </w:hyperlink>
      <w:r>
        <w:t xml:space="preserve"> - Brightflag offers best practices for developing and implementing outside counsel guidelines (OCGs). The guidelines include provisions for the use of artificial intelligence (AI) by law firms, emphasizing compliance with applicable laws, fair billing, efficiency gains, and data security. The resource also provides tips for creating concise, clear, and approachable guidelines that align with company policies and encourage collaboration and value-added services from outside counsel.</w:t>
      </w:r>
      <w:r/>
    </w:p>
    <w:p>
      <w:pPr>
        <w:pStyle w:val="ListNumber"/>
        <w:spacing w:line="240" w:lineRule="auto"/>
        <w:ind w:left="720"/>
      </w:pPr>
      <w:r/>
      <w:hyperlink r:id="rId14">
        <w:r>
          <w:rPr>
            <w:color w:val="0000EE"/>
            <w:u w:val="single"/>
          </w:rPr>
          <w:t>https://www.squirepattonboggs.com/en/insights/publications/2023/06/ai-considerations-for-in-house-counsel</w:t>
        </w:r>
      </w:hyperlink>
      <w:r>
        <w:t xml:space="preserve"> - Squire Patton Boggs discusses the importance of developing an AI governance policy and framework for in-house counsel. The article outlines steps such as defining AI within the organization, leveraging existing processes to address AI risks, and incorporating responsible AI principles from established frameworks. It also emphasizes the need for risk and impact assessments to identify potential harms and ensure compliance with applicable laws and ethical standards.</w:t>
      </w:r>
      <w:r/>
    </w:p>
    <w:p>
      <w:pPr>
        <w:pStyle w:val="ListNumber"/>
        <w:spacing w:line="240" w:lineRule="auto"/>
        <w:ind w:left="720"/>
      </w:pPr>
      <w:r/>
      <w:hyperlink r:id="rId15">
        <w:r>
          <w:rPr>
            <w:color w:val="0000EE"/>
            <w:u w:val="single"/>
          </w:rPr>
          <w:t>https://docket.acc.com/node/4199</w:t>
        </w:r>
      </w:hyperlink>
      <w:r>
        <w:t xml:space="preserve"> - This article from the ACC Docket explores how corporate counsel can balance innovation with oversight in the age of AI. It discusses the importance of auditing AI systems for bias, ensuring transparency, and maintaining respect for privacy and attorney-client privilege. The piece also highlights guiding principles for ethical legal leadership, including accountability, human-centricity, continuous improvement, and future-readiness, to navigate the evolving landscape of AI in legal practices.</w:t>
      </w:r>
      <w:r/>
    </w:p>
    <w:p>
      <w:pPr>
        <w:pStyle w:val="ListNumber"/>
        <w:spacing w:line="240" w:lineRule="auto"/>
        <w:ind w:left="720"/>
      </w:pPr>
      <w:r/>
      <w:hyperlink r:id="rId16">
        <w:r>
          <w:rPr>
            <w:color w:val="0000EE"/>
            <w:u w:val="single"/>
          </w:rPr>
          <w:t>https://www.spotdraft.com/blog/engaging-outside-counsel-in-the-age-of-gen-ai</w:t>
        </w:r>
      </w:hyperlink>
      <w:r>
        <w:t xml:space="preserve"> - Spotdraft examines how generative AI is reshaping client-firm communication and engagement. The article suggests strategies for legal departments to push for more strategic engagement with outside counsel, such as reviewing communication patterns, creating opportunities for deeper business integration, and leveraging technology for effective collaboration. It also discusses the impact of AI on the traditional 'speed, quality, cost' challenge in legal services, highlighting how AI can change this dynamic.</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dsupra.com/legalnews/outside-counsel-guidelines-built-to-4681284/" TargetMode="External"/><Relationship Id="rId11" Type="http://schemas.openxmlformats.org/officeDocument/2006/relationships/hyperlink" Target="https://www.acc.com/resource-library/sample-artificial-intelligence-ai-guidelines-outside-counsel" TargetMode="External"/><Relationship Id="rId12" Type="http://schemas.openxmlformats.org/officeDocument/2006/relationships/hyperlink" Target="https://simplexbi.com/blog/mastering-time-entry-and-outside-counsel-guidelines-a-roadmap-to-legal-revenue-optimization/" TargetMode="External"/><Relationship Id="rId13" Type="http://schemas.openxmlformats.org/officeDocument/2006/relationships/hyperlink" Target="https://brightflag.com/resources/tips-for-creating-outside-counsel-guidelines/" TargetMode="External"/><Relationship Id="rId14" Type="http://schemas.openxmlformats.org/officeDocument/2006/relationships/hyperlink" Target="https://www.squirepattonboggs.com/en/insights/publications/2023/06/ai-considerations-for-in-house-counsel" TargetMode="External"/><Relationship Id="rId15" Type="http://schemas.openxmlformats.org/officeDocument/2006/relationships/hyperlink" Target="https://docket.acc.com/node/4199" TargetMode="External"/><Relationship Id="rId16" Type="http://schemas.openxmlformats.org/officeDocument/2006/relationships/hyperlink" Target="https://www.spotdraft.com/blog/engaging-outside-counsel-in-the-age-of-g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