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Pharmacy holding companies emerge as key drivers of sustainable growth and innovation in community pharmacy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landscape of community pharmacy is undergoing a profound transformation driven by shifting market forces, regulatory changes, and rising management complexities. Today, the formation of pharmacy holding companies is evolving from a strategic choice into an imperative necessity, as demonstrated in recent research exploring their role in enhancing sustainable lifestyles while unlocking new business opportunities—a dual agenda pivotal to their future growth.</w:t>
      </w:r>
      <w:r/>
    </w:p>
    <w:p>
      <w:r/>
      <w:r>
        <w:t>Pharmacy holding companies represent a novel organizational model in the pharmaceutical sector, particularly emerging in markets such as Italy, where from 2015 to 2021, pharmacy numbers grew by 9.3% even as the population per pharmacy shrank significantly compared to peers like Germany and Austria. This trend, combined with declining revenues from traditional prescription drug sales, is pushing pharmacies to diversify into non-pharmaceutical product sales and services that require substantial investment, underscoring the criticality of efficient, scalable business structures.</w:t>
      </w:r>
      <w:r/>
    </w:p>
    <w:p>
      <w:r/>
      <w:r>
        <w:t>A recent study applied a robust multi-criteria decision analysis using the Analytic Hierarchy Process (AHP) and the Technique for Order of Preference by Similarity to Ideal Solution (TOPSIS) to synthesize expert opinions from four stakeholder groups—academics, consultants, managers, and pharmacists—on the key drivers influencing the decision to join a pharmacy holding company. The analysis uncovered a nuanced landscape: while TOPSIS pinpointed business opportunities as the chief motivator, reflecting a focus on expansion and innovation, AHP elevated lifestyle improvements and better working conditions as the predominant factors. This divergence highlights the multidimensional nature of strategic decision-making, balancing economic imperatives with human-centric concerns.</w:t>
      </w:r>
      <w:r/>
    </w:p>
    <w:p>
      <w:r/>
      <w:r>
        <w:t>The criteria evaluated included enhancing customer service, reducing procurement and administrative costs, boosting staff efficiency, opening new business avenues, advancing brand development, and improving life choice for pharmacists. Experts consistently rated lifestyle choice and new business opportunities as paramount, collectively representing nearly 40% of decision weight. Academics and managers leaned towards lifestyle and working conditions, emphasizing the importance of sustainable, flexible professional environments. Consultants were more attuned to market potential and growth prospects, whereas pharmacists prioritized economic considerations like acquisition costs.</w:t>
      </w:r>
      <w:r/>
    </w:p>
    <w:p>
      <w:r/>
      <w:r>
        <w:t>This stratification of priorities reflects the shifting identity of pharmacists themselves—from traditional dispensers to hybrid professionals encompassing healthcare advisors, business managers, and technology users. Increasingly, pharmacies are embracing digital tools such as artificial intelligence, cloud computing, and intelligent management systems to automate processes ranging from inventory to regulatory compliance, thus facilitating higher service quality, error reduction, and operational efficiency.</w:t>
      </w:r>
      <w:r/>
    </w:p>
    <w:p>
      <w:r/>
      <w:r>
        <w:t>Importantly, sustainability emerges not merely as environmental stewardship but as a broad organizational principle encompassing labor conditions, corporate governance, and ethical responsibility. The study advocates for pharmacy holding companies to evolve from purely shareholder-centric entities to stakeholder-oriented models that place the customer at the centre, extending services while redistributing generated benefits equitably. Such an approach aligns closely with the United Nations Sustainable Development Goals (SDGs), notably SDG 3 (Good Health and Well-being) and SDG 8 (Decent Work and Economic Growth), reinforcing pharmacies’ dual social and economic mandate.</w:t>
      </w:r>
      <w:r/>
    </w:p>
    <w:p>
      <w:r/>
      <w:r>
        <w:t>The mounting regulatory and competitive pressures necessitate strategic collaborations and mergers, which although complex, provide avenues for economies of scale, centralized procurement, streamlined administration, and enhanced brand equity. These factors collectively facilitate the reinvestment of resources into new markets, including e-commerce and specialized sectors such as veterinary care. Moreover, integrated models allow for professional growth and reduced operational uncertainties, fostering a sustainable work-life balance for pharmacists.</w:t>
      </w:r>
      <w:r/>
    </w:p>
    <w:p>
      <w:r/>
      <w:r>
        <w:t>However, the study also underlines that sustainability in pharmacy practice must transcend superficial 'greenwashing', advocating for a systemic, reflective approach to balancing stakeholder interests and ethical values. This involves integrating SDG principles into corporate purpose, education, and policymaking to cultivate resilient, health-oriented communities. There remains a call for educational reforms to equip pharmacists with entrepreneurial, technological, and managerial skills required in this evolving role.</w:t>
      </w:r>
      <w:r/>
    </w:p>
    <w:p>
      <w:r/>
      <w:r>
        <w:t>The comparison between AHP and TOPSIS methodologies revealed a high correlation but also key differences in prioritization, suggesting that complex strategic decisions benefit from multi-faceted analytical frameworks to capture diverse perspectives fully. While the panel of experts provided rich insights, future research is recommended to broaden participation for even more comprehensive criteria identification, including social and community-oriented factors.</w:t>
      </w:r>
      <w:r/>
    </w:p>
    <w:p>
      <w:r/>
      <w:r>
        <w:t>In conclusion, pharmacy holding companies are positioned as pivotal actors in shaping the future of pharmaceutical care by synergizing business growth with sustainability objectives. By fostering inclusive governance models and investing in workforce well-being and innovation, these entities can sustain competitive advantage while contributing meaningfully to global health and economic goals. The findings offer a valuable decision-making blueprint for policymakers, industry leaders, and healthcare professionals navigating the complexities of the digital, sustainable pharmacy era.</w:t>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https://onlinelibrary.wiley.com/doi/10.1002/bsd2.70226?af=R</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linelibrary.wiley.com/doi/10.1002/bsd2.70226?a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