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trade compliance evolves into strategic tool amid rising tariffs and security goals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Trade compliance in the United States has evolved from a niche operational area to a critical, mainstream business function amid rising tariff complexities and expanded customs duties. This shift represents a broader transformation in trade policy under the Trump administration, which has used tariffs strategically not only to protect domestic industries but also to integrate trade enforcement with national security and economic objectives.</w:t>
      </w:r>
      <w:r/>
    </w:p>
    <w:p>
      <w:r/>
      <w:r>
        <w:t>Michael Bellezza, Vice President at Tradewin, highlights this change as a move away from reactive compliance to a proactive, strategic approach. Companies today face higher and more complicated customs duties across a wide range of commodities and origins, making it essential to establish robust trade compliance programmes. According to Bellezza, the cornerstone of any effective duty mitigation strategy lies in accurate Harmonized Tariff Schedule (HTS) classification. Without precise data on shipment origin, valuation, and applicable tariffs, attempts at duty recovery or reduction will be fundamentally flawed. This foundation of reliable, accessible data enables organisations to unlock high-value mitigation programmes such as duty drawback schemes, Free Trade Agreement (FTA) maximisation, and refined valuation and origin analyses.</w:t>
      </w:r>
      <w:r/>
    </w:p>
    <w:p>
      <w:r/>
      <w:r>
        <w:t>The Duty Drawback Program is one of the most impactful mechanisms, allowing companies to recover up to 99% of duties, taxes, and fees on imported goods that are subsequently exported or used in exported product manufacturing. In addition, re-examining exclusivity within agreements like the United States-Mexico-Canada Agreement (USMCA) can reveal substantial tariff reductions by ensuring full compliance with Rules of Origin qualifications. This granularity in supply chain management is vital for companies navigating increasingly complex multi-country operations.</w:t>
      </w:r>
      <w:r/>
    </w:p>
    <w:p>
      <w:r/>
      <w:r>
        <w:t>Beyond compliance, the Trump administration’s tariff strategy signals a broader industrial policy shift. New tariffs imposed in November 2025 on medium and heavy-duty trucks, parts, and buses, 25% and 10% respectively, underscore national security considerations linked to rebuilding U.S. manufacturing capacity. These measures include import-adjustment offsets designed to incentivise domestic assembly, reflecting a deliberate move to integrate trade policy with economic and security goals. Treasury Secretary Scott Bessent further explained in early 2025 that tariffs primarily aim to repatriate manufacturing sectors like medical supplies and shipbuilding, viewing these tariffs as temporary tools to strengthen domestic industries and corporate revenues.</w:t>
      </w:r>
      <w:r/>
    </w:p>
    <w:p>
      <w:r/>
      <w:r>
        <w:t>This evolving policy landscape has prompted U.S. multinationals to adapt financially as well. Firms are extending currency hedges up to five years to counteract the heightened volatility caused by tariff fluctuations and related trade uncertainties. This longer-term hedging approach helps mitigate risks from a weakening dollar and recession fears, illustrating how tariffs now reverberate through multiple layers of global business strategy.</w:t>
      </w:r>
      <w:r/>
    </w:p>
    <w:p>
      <w:r/>
      <w:r>
        <w:t>Enforcement agencies such as U.S. Customs and Border Protection (CBP) are central to these trade policy implementations, increasing their focus on trade fraud prevention, supply chain transparency, and broader economic security enforcement. This signals a more integrated enforcement regime that links trade oversight with foreign policy and national security priorities.</w:t>
      </w:r>
      <w:r/>
    </w:p>
    <w:p>
      <w:r/>
      <w:r>
        <w:t>Amid this backdrop, technology offers promising avenues to streamline tariff management. A 2025 study introduced a framework combining Optical Character Recognition (OCR) and Large Language Model (LLM) technologies to expedite and enhance tariff exemption processes. Automating administrative assessments in this way could reduce errors and improve efficiency, thereby easing the operational burden on companies and fostering a more predictable trade environment.</w:t>
      </w:r>
      <w:r/>
    </w:p>
    <w:p>
      <w:r/>
      <w:r>
        <w:t>For companies facing this complex trade climate, partnering with specialised firms like Tradewin can prove invaluable. Tradewin’s global team of trade experts and Licensed Customs Brokers provide end-to-end services, including detailed HTS classification, Rules of Origin analysis, FTA qualification, duty drawback, and Foreign Trade Zone management. Their strategic trade compliance integration helps businesses not only comply but transform tariff challenges into competitive advantages.</w:t>
      </w:r>
      <w:r/>
    </w:p>
    <w:p>
      <w:r/>
      <w:r>
        <w:t>In conclusion, the current U.S. trade environment demands that businesses adopt a comprehensive, strategic approach to tariff compliance and mitigation. Bolstered by precise data management, regulatory-backed programmes, and technological innovation, companies can build resilient trade programmes that reduce duty spend while aligning with broader economic and security policies. As tariffs become a durable feature of the trade landscape, proactive engagement and expert support will be essential to maintaining profit margins and operational agility.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https://blog.tradewin.net/strategic-tariff-mitigation-in-2025-strategies-to-reduce-us-duty-spend</w:t>
        </w:r>
      </w:hyperlink>
      <w:r>
        <w:t xml:space="preserve"> - Please view link - unable to able to access data</w:t>
      </w:r>
      <w:r/>
    </w:p>
    <w:p>
      <w:pPr>
        <w:pStyle w:val="ListNumber"/>
        <w:spacing w:line="240" w:lineRule="auto"/>
        <w:ind w:left="720"/>
      </w:pPr>
      <w:r/>
      <w:hyperlink r:id="rId11">
        <w:r>
          <w:rPr>
            <w:color w:val="0000EE"/>
            <w:u w:val="single"/>
          </w:rPr>
          <w:t>https://www.reuters.com/legal/legalindustry/truck-tariffs-signal-broader-us-supply-chain-rebuild--pracin-2025-11-10/</w:t>
        </w:r>
      </w:hyperlink>
      <w:r>
        <w:t xml:space="preserve"> - In November 2025, President Trump imposed new tariffs on medium and heavy-duty trucks, parts, and buses, citing national security under Section 232 of the Trade Expansion Act of 1962. These tariffs include 25% on trucks and parts, and 10% on buses, with a five-year import-adjustment offset to incentivise domestic assembly. This move reflects a strategic shift in U.S. trade policy, aiming to rebuild industrial capacity and integrate trade with national and economic security objectives.</w:t>
      </w:r>
      <w:r/>
    </w:p>
    <w:p>
      <w:pPr>
        <w:pStyle w:val="ListNumber"/>
        <w:spacing w:line="240" w:lineRule="auto"/>
        <w:ind w:left="720"/>
      </w:pPr>
      <w:r/>
      <w:hyperlink r:id="rId12">
        <w:r>
          <w:rPr>
            <w:color w:val="0000EE"/>
            <w:u w:val="single"/>
          </w:rPr>
          <w:t>https://www.reuters.com/world/asia-pacific/imf-urges-asia-cut-trade-barriers-beat-us-tariffs-2025-10-24/</w:t>
        </w:r>
      </w:hyperlink>
      <w:r>
        <w:t xml:space="preserve"> - In October 2025, the International Monetary Fund urged Asian nations to reduce non-tariff barriers and deepen regional trade integration to mitigate the impact of U.S. tariffs and global financial shocks. The IMF highlighted Asia's significant role in global trade and suggested that reducing trade barriers and pursuing broader regional agreements could help Asian economies diversify export markets, reduce costs, and offset some of the headwinds from tariff shocks.</w:t>
      </w:r>
      <w:r/>
    </w:p>
    <w:p>
      <w:pPr>
        <w:pStyle w:val="ListNumber"/>
        <w:spacing w:line="240" w:lineRule="auto"/>
        <w:ind w:left="720"/>
      </w:pPr>
      <w:r/>
      <w:hyperlink r:id="rId13">
        <w:r>
          <w:rPr>
            <w:color w:val="0000EE"/>
            <w:u w:val="single"/>
          </w:rPr>
          <w:t>https://www.reuters.com/markets/us/treasury-secretary-bessent-says-tariffs-aimed-bringing-manufacturing-back-us-2025-02-05/</w:t>
        </w:r>
      </w:hyperlink>
      <w:r>
        <w:t xml:space="preserve"> - In February 2025, Treasury Secretary Scott Bessent announced that the Trump administration's tariff strategies are primarily focused on repatriating manufacturing to the U.S., particularly in sectors like medical supplies and shipbuilding. Bessent emphasized that tariffs are a temporary measure intended to boost the U.S. domestic manufacturing base, increase corporate revenue, and reduce the need for tariffs over time.</w:t>
      </w:r>
      <w:r/>
    </w:p>
    <w:p>
      <w:pPr>
        <w:pStyle w:val="ListNumber"/>
        <w:spacing w:line="240" w:lineRule="auto"/>
        <w:ind w:left="720"/>
      </w:pPr>
      <w:r/>
      <w:hyperlink r:id="rId14">
        <w:r>
          <w:rPr>
            <w:color w:val="0000EE"/>
            <w:u w:val="single"/>
          </w:rPr>
          <w:t>https://www.reuters.com/business/us-multinationals-extend-currency-hedges-counter-trumps-tariff-volatility-2025-04-21/</w:t>
        </w:r>
      </w:hyperlink>
      <w:r>
        <w:t xml:space="preserve"> - In April 2025, U.S. multinational companies extended the duration of their currency hedges to protect against heightened exchange rate volatility resulting from President Trump's global tariff announcements. Firms are now hedging two to five years ahead to mitigate risks stemming from a weakening dollar, recession fears, and uncertainty in trade policy, reflecting a strategic response to the evolving trade landscape and currency fluctuations.</w:t>
      </w:r>
      <w:r/>
    </w:p>
    <w:p>
      <w:pPr>
        <w:pStyle w:val="ListNumber"/>
        <w:spacing w:line="240" w:lineRule="auto"/>
        <w:ind w:left="720"/>
      </w:pPr>
      <w:r/>
      <w:hyperlink r:id="rId15">
        <w:r>
          <w:rPr>
            <w:color w:val="0000EE"/>
            <w:u w:val="single"/>
          </w:rPr>
          <w:t>https://www.reuters.com/legal/government/us-customs-border-protection-ramping-up-trade-enforcement-pressures-mount--pracin-2025-09-12/</w:t>
        </w:r>
      </w:hyperlink>
      <w:r>
        <w:t xml:space="preserve"> - In September 2025, U.S. Customs and Border Protection (CBP) emerged as a central player in implementing the Trump administration's trade and tariff strategies. CBP is now at the forefront of combating trade fraud, enforcing supply chain transparency, and supporting broader economic security objectives, reflecting a broader U.S. government effort to link trade enforcement with foreign policy and national security aims.</w:t>
      </w:r>
      <w:r/>
    </w:p>
    <w:p>
      <w:pPr>
        <w:pStyle w:val="ListNumber"/>
        <w:spacing w:line="240" w:lineRule="auto"/>
        <w:ind w:left="720"/>
      </w:pPr>
      <w:r/>
      <w:hyperlink r:id="rId16">
        <w:r>
          <w:rPr>
            <w:color w:val="0000EE"/>
            <w:u w:val="single"/>
          </w:rPr>
          <w:t>https://arxiv.org/abs/2506.12093</w:t>
        </w:r>
      </w:hyperlink>
      <w:r>
        <w:t xml:space="preserve"> - A June 2025 study proposed a conceptual framework integrating Optical Character Recognition (OCR) and Large Language Model (LLM) technologies to optimise tariff exemption processes. The system aims to enhance the speed and precision of administrative assessments, reducing potential for non-alignment and non-optimised exemption utilisation, thereby streamlining the investment journey for Foreign Direct Investment (FDI) companies and improving the ease of doing business.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blog.tradewin.net/strategic-tariff-mitigation-in-2025-strategies-to-reduce-us-duty-spend" TargetMode="External"/><Relationship Id="rId11" Type="http://schemas.openxmlformats.org/officeDocument/2006/relationships/hyperlink" Target="https://www.reuters.com/legal/legalindustry/truck-tariffs-signal-broader-us-supply-chain-rebuild--pracin-2025-11-10/" TargetMode="External"/><Relationship Id="rId12" Type="http://schemas.openxmlformats.org/officeDocument/2006/relationships/hyperlink" Target="https://www.reuters.com/world/asia-pacific/imf-urges-asia-cut-trade-barriers-beat-us-tariffs-2025-10-24/" TargetMode="External"/><Relationship Id="rId13" Type="http://schemas.openxmlformats.org/officeDocument/2006/relationships/hyperlink" Target="https://www.reuters.com/markets/us/treasury-secretary-bessent-says-tariffs-aimed-bringing-manufacturing-back-us-2025-02-05/" TargetMode="External"/><Relationship Id="rId14" Type="http://schemas.openxmlformats.org/officeDocument/2006/relationships/hyperlink" Target="https://www.reuters.com/business/us-multinationals-extend-currency-hedges-counter-trumps-tariff-volatility-2025-04-21/" TargetMode="External"/><Relationship Id="rId15" Type="http://schemas.openxmlformats.org/officeDocument/2006/relationships/hyperlink" Target="https://www.reuters.com/legal/government/us-customs-border-protection-ramping-up-trade-enforcement-pressures-mount--pracin-2025-09-12/" TargetMode="External"/><Relationship Id="rId16" Type="http://schemas.openxmlformats.org/officeDocument/2006/relationships/hyperlink" Target="https://arxiv.org/abs/2506.1209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