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Alkane Resources enhances governance controls with transparent executive remuneration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Alkane Resources (ASX:ALK) operates within the Australian materials sector, a domain characterised by extensive operational responsibilities and stringent regulatory standards, particularly in the mining and resource development landscape. As a member of the All Ordinaries cohort, Alkane Resources is situated within a diverse group of publicly listed entities whose executive leadership, governance, and remuneration frameworks attract focused attention from stakeholders scrutinising corporate transparency and accountability.</w:t>
      </w:r>
      <w:r/>
    </w:p>
    <w:p>
      <w:r/>
      <w:r>
        <w:t>The company’s leadership structure consistently emerges as a focal point in discussions about executive roles within the resources field. Alkane Resources’ executive framework encapsulates complex responsibilities spanning from project delivery and regulatory compliance to community engagement and governance standards. This multi-faceted operational environment necessitates a blend of technical expertise and corporate oversight, reinforcing the importance of a robust leadership and governance model.</w:t>
      </w:r>
      <w:r/>
    </w:p>
    <w:p>
      <w:r/>
      <w:r>
        <w:t>Central to Alkane Resources’ corporate governance is the Remuneration Committee, a governance body tasked with reviewing and recommending the overall remuneration strategy and framework. According to the company’s annual reports and investor disclosures dating back to 2020, this committee comprises non-executive directors who oversee remuneration policies to ensure they align with the company's long-term interests and shareholder expectations. This framework integrates fixed remuneration, performance-linked incentives, and equity components, reflecting sector-wide benchmarks and the complexity of managing exploration, project development, and multi-year operational schedules.</w:t>
      </w:r>
      <w:r/>
    </w:p>
    <w:p>
      <w:r/>
      <w:r>
        <w:t>The remuneration practices at Alkane Resources mirror the broader Australian materials sector’s standards, where executive pay is regularly evaluated against market conditions, operational scale, and governance imperatives. As documented in the 2022 and 2025 reports, executive compensation incorporates various elements, including cash salary, superannuation, and performance-based remuneration, with the latter forming a significant part of the overall package to align leadership incentives with corporate success metrics. This approach is in line with industry practice, as companies in the sector balance competitive pay with accountability by linking remuneration to operational and strategic outcomes.</w:t>
      </w:r>
      <w:r/>
    </w:p>
    <w:p>
      <w:r/>
      <w:r>
        <w:t>Alkane Resources’ governance structure prioritises board diversity and expertise, bringing together professionals with backgrounds in geology, resource development, finance, and regulatory affairs. This multidisciplinary board composition enhances oversight capabilities, ensuring leadership decisions are informed by technical and administrative perspectives. Governance committees frequently assess executive remuneration, compliance, operational reporting, and stakeholder communication mechanisms to uphold high standards of accountability and transparency.</w:t>
      </w:r>
      <w:r/>
    </w:p>
    <w:p>
      <w:r/>
      <w:r>
        <w:t>Public disclosures form a vital part of Alkane Resources’ governance landscape, providing stakeholders with detailed accounts of executive compensation, governance practices, and operational developments. The company’s commitment to transparent reporting includes remuneration tables, narrative explanations of contractual arrangements, and descriptions of performance-based pay components. These disclosures support stakeholder understanding of how leadership roles interact with broader organisational objectives and regulatory expectations.</w:t>
      </w:r>
      <w:r/>
    </w:p>
    <w:p>
      <w:r/>
      <w:r>
        <w:t>Within the competitive environment of the ASX mining stocks, Alkane Resources benchmarks its executive remuneration against peers and sector norms. Industry analysts, such as those from Simply Wall St, highlight the company’s executive compensation in the context of tenure, ownership, and market position, offering insight into how Alkane balances leadership stability with performance incentives. The CEO, Nic Earner, for example, features in these analyses with a remuneration package and leadership tenure consistent with sector expectations.</w:t>
      </w:r>
      <w:r/>
    </w:p>
    <w:p>
      <w:r/>
      <w:r>
        <w:t>Alkane Resources operates in an environment where governance and remuneration are deeply interconnected with operational execution and long-term planning. The company's alignment with ASX governance standards, even while outside the ASX 100 grouping, illustrates its commitment to maintaining corporate practices reflective of market-wide expectations. This integration of governance, remuneration, and operational oversight positions Alkane Resources as a notable participant in Australia’s materials sector, contributing not only to resource development but also to evolving standards of executive leadership and corporate transparency.</w:t>
      </w:r>
      <w:r/>
    </w:p>
    <w:p>
      <w:r/>
      <w:r>
        <w:t>In conclusion, Alkane Resources exemplifies a structured approach to executive compensation and governance that reflects the complexities and demands of the Australian materials sector. Its governance framework, remuneration policies, and public reporting practices collectively foster transparency and stakeholder confidence, reinforcing the importance of robust leadership structures within this dynamic and critically important sector of the Australian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https://kalkinemedia.com/au/news/basic-materials/alkane-resources-leadership-structure-strengthens-corporate-framework-within-all-ordinaries-landscape</w:t>
        </w:r>
      </w:hyperlink>
      <w:r>
        <w:t xml:space="preserve"> - Please view link - unable to able to access data</w:t>
      </w:r>
      <w:r/>
    </w:p>
    <w:p>
      <w:pPr>
        <w:pStyle w:val="ListNumber"/>
        <w:spacing w:line="240" w:lineRule="auto"/>
        <w:ind w:left="720"/>
      </w:pPr>
      <w:r/>
      <w:hyperlink r:id="rId11">
        <w:r>
          <w:rPr>
            <w:color w:val="0000EE"/>
            <w:u w:val="single"/>
          </w:rPr>
          <w:t>https://www.asx.com.au/asxpdf/20221021/pdf/45glb204r6n7vh.pdf</w:t>
        </w:r>
      </w:hyperlink>
      <w:r>
        <w:t xml:space="preserve"> - Alkane Resources' 2022 Annual Report outlines the company's executive remuneration practices, highlighting the establishment of a Remuneration Committee responsible for reviewing and recommending the overall remuneration strategy and framework. The report details the composition of the committee, which includes non-executive directors, and emphasizes the alignment of remuneration policies with the long-term interests of the company and its shareholders. It also provides information on the key management personnel and their respective roles within the organization.</w:t>
      </w:r>
      <w:r/>
    </w:p>
    <w:p>
      <w:pPr>
        <w:pStyle w:val="ListNumber"/>
        <w:spacing w:line="240" w:lineRule="auto"/>
        <w:ind w:left="720"/>
      </w:pPr>
      <w:r/>
      <w:hyperlink r:id="rId12">
        <w:r>
          <w:rPr>
            <w:color w:val="0000EE"/>
            <w:u w:val="single"/>
          </w:rPr>
          <w:t>https://www.asx.com.au/asxpdf/20220829/pdf/45dfld7fpqhy9t.pdf</w:t>
        </w:r>
      </w:hyperlink>
      <w:r>
        <w:t xml:space="preserve"> - The 2022 Remuneration Report for Alkane Resources presents detailed information on the company's executive compensation, including the roles of Non-Executive Directors, Executive Directors, and other Key Management Personnel. It discusses the governance structure overseeing remuneration, the use of remuneration consultants for industry benchmarking, and the company's commitment to ensuring that remuneration policies are fair, competitive, and aligned with the long-term interests of the company and its shareholders.</w:t>
      </w:r>
      <w:r/>
    </w:p>
    <w:p>
      <w:pPr>
        <w:pStyle w:val="ListNumber"/>
        <w:spacing w:line="240" w:lineRule="auto"/>
        <w:ind w:left="720"/>
      </w:pPr>
      <w:r/>
      <w:hyperlink r:id="rId13">
        <w:r>
          <w:rPr>
            <w:color w:val="0000EE"/>
            <w:u w:val="single"/>
          </w:rPr>
          <w:t>https://announcements.asx.com.au/asxpdf/20250822/pdf/06n5xkhzl6hyyb.pdf</w:t>
        </w:r>
      </w:hyperlink>
      <w:r>
        <w:t xml:space="preserve"> - Alkane Resources' 2025 Investor Announcement provides insights into the company's executive remuneration, detailing the cash salary, fees, and superannuation for Non-Executive Directors. The report also outlines the relative proportions of remuneration expense linked to performance and those that are fixed, offering a comprehensive view of the company's compensation structure and its alignment with performance metrics.</w:t>
      </w:r>
      <w:r/>
    </w:p>
    <w:p>
      <w:pPr>
        <w:pStyle w:val="ListNumber"/>
        <w:spacing w:line="240" w:lineRule="auto"/>
        <w:ind w:left="720"/>
      </w:pPr>
      <w:r/>
      <w:hyperlink r:id="rId14">
        <w:r>
          <w:rPr>
            <w:color w:val="0000EE"/>
            <w:u w:val="single"/>
          </w:rPr>
          <w:t>https://www.asx.com.au/asxpdf/20211018/pdf/451sps88r0ltnd.pdf</w:t>
        </w:r>
      </w:hyperlink>
      <w:r>
        <w:t xml:space="preserve"> - The 2021 Annual Report of Alkane Resources discusses the company's remuneration governance, highlighting the role of the Remuneration Committee in assisting the Board with corporate governance responsibilities related to remuneration. It details the committee's objectives, including reviewing the overall remuneration strategy and framework, assessing the performance and remuneration of key management personnel, and ensuring that remuneration policies are fair, competitive, and aligned with the long-term interests of the company and its shareholders.</w:t>
      </w:r>
      <w:r/>
    </w:p>
    <w:p>
      <w:pPr>
        <w:pStyle w:val="ListNumber"/>
        <w:spacing w:line="240" w:lineRule="auto"/>
        <w:ind w:left="720"/>
      </w:pPr>
      <w:r/>
      <w:hyperlink r:id="rId15">
        <w:r>
          <w:rPr>
            <w:color w:val="0000EE"/>
            <w:u w:val="single"/>
          </w:rPr>
          <w:t>https://www.asx.com.au/asxpdf/20201002/pdf/44n9n5plfck489.pdf</w:t>
        </w:r>
      </w:hyperlink>
      <w:r>
        <w:t xml:space="preserve"> - Alkane Resources' 2020 Annual Report provides information on the company's key management personnel, including Non-Executive and Executive Directors, as well as other Key Management Personnel. It outlines the company's remuneration governance, emphasizing the establishment of a Remuneration Committee responsible for reviewing and making recommendations on the overall remuneration strategy and framework, the operation of incentive plans, and the assessment of performance and remuneration of key management personnel.</w:t>
      </w:r>
      <w:r/>
    </w:p>
    <w:p>
      <w:pPr>
        <w:pStyle w:val="ListNumber"/>
        <w:spacing w:line="240" w:lineRule="auto"/>
        <w:ind w:left="720"/>
      </w:pPr>
      <w:r/>
      <w:hyperlink r:id="rId16">
        <w:r>
          <w:rPr>
            <w:color w:val="0000EE"/>
            <w:u w:val="single"/>
          </w:rPr>
          <w:t>https://simplywall.st/stocks/au/materials/otc-alke.f/alkane-resources/management</w:t>
        </w:r>
      </w:hyperlink>
      <w:r>
        <w:t xml:space="preserve"> - Simply Wall St's analysis of Alkane Resources Ltd's leadership and management team provides insights into the company's executive compensation. It details the total annual compensation of the CEO, Nic Earner, and compares it with other companies in the Australian Metals and Mining industry. The analysis also discusses the CEO's tenure, ownership in the company, and the average tenure of the management team and board of directors, offering a comprehensive view of Alkane Resources' executive structure and compensation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news/basic-materials/alkane-resources-leadership-structure-strengthens-corporate-framework-within-all-ordinaries-landscape" TargetMode="External"/><Relationship Id="rId11" Type="http://schemas.openxmlformats.org/officeDocument/2006/relationships/hyperlink" Target="https://www.asx.com.au/asxpdf/20221021/pdf/45glb204r6n7vh.pdf" TargetMode="External"/><Relationship Id="rId12" Type="http://schemas.openxmlformats.org/officeDocument/2006/relationships/hyperlink" Target="https://www.asx.com.au/asxpdf/20220829/pdf/45dfld7fpqhy9t.pdf" TargetMode="External"/><Relationship Id="rId13" Type="http://schemas.openxmlformats.org/officeDocument/2006/relationships/hyperlink" Target="https://announcements.asx.com.au/asxpdf/20250822/pdf/06n5xkhzl6hyyb.pdf" TargetMode="External"/><Relationship Id="rId14" Type="http://schemas.openxmlformats.org/officeDocument/2006/relationships/hyperlink" Target="https://www.asx.com.au/asxpdf/20211018/pdf/451sps88r0ltnd.pdf" TargetMode="External"/><Relationship Id="rId15" Type="http://schemas.openxmlformats.org/officeDocument/2006/relationships/hyperlink" Target="https://www.asx.com.au/asxpdf/20201002/pdf/44n9n5plfck489.pdf" TargetMode="External"/><Relationship Id="rId16" Type="http://schemas.openxmlformats.org/officeDocument/2006/relationships/hyperlink" Target="https://simplywall.st/stocks/au/materials/otc-alke.f/alkane-resources/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