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Legacy denim brands innovate with water-saving and circular techniques to curb environmental impact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environmental impact of denim production, particularly for iconic legacy brands, is gaining increased scrutiny as the ecological costs of traditional methods become clearer. Central to this scrutiny is the significant water consumption intrinsic to cotton cultivation, dyeing, and finishing processes. Levi Strauss &amp; Co., one of the world’s preeminent denim manufacturers, estimates that nearly 90 percent of its raw materials are cotton, much of it grown in regions experiencing high water stress. According to their lifecycle assessments, a single pair of jeans can consume as much as 3,800 litres of water over its lifetime. This figure includes everything from cotton farming and dyeing to finishing and consumer use.</w:t>
      </w:r>
      <w:r/>
    </w:p>
    <w:p>
      <w:r/>
      <w:r>
        <w:t>Water demand during the finishing stage, where jeans are treated for various textures and styles, is particularly intensive. Research indicates that conventional finishing typically uses about 42 litres of water per pair. However, advanced technological approaches such as laser finishing and ozone treatments can slash water use dramatically to around 1.5 litres per pair. Levi’s Water</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