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Biopharmaceutical industry accelerates innovation through strategic alliances and AI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biopharmaceutical industry is undergoing a significant transformation driven by strategic alliances and advanced technological integration, particularly in the realms of artificial intelligence (AI) and cell and gene therapies (CGT). This evolving landscape reflects a deliberate shift towards collaborative models that enhance innovation, streamline manufacturing, and improve supply chain efficiencies.</w:t>
      </w:r>
      <w:r/>
    </w:p>
    <w:p>
      <w:r/>
      <w:r>
        <w:t>Industry experts consistently highlight the critical role of strategic partnerships in navigating the complexities of developing and commercialising novel therapeutic modalities. Jason Bock, CEO of CTMC, emphasises that the traditional manufacturing paradigms are often inadequate for cutting-edge modalities such as cell therapies. Unlike conventional drugs where large batch manufacturing and centralized production suffice, cell therapies require a highly integrated, on-demand manufacturing approach. This necessitates closer synchronization between clinical sites and manufacturing facilities to manage the individualized nature of these treatments effectively. Bock advocates for reimagining partnership structures where manufacturing, clinical operations, and regulatory processes coalesce to reduce costs, risks, and logistical burdens for biotech companies, enhancing capital efficiency and speeding time to market.</w:t>
      </w:r>
      <w:r/>
    </w:p>
    <w:p>
      <w:r/>
      <w:r>
        <w:t>One of the foremost technological advances underpinning this shift is the integration of AI and digital systems into drug development and manufacturing processes. While AI’s role is often highlighted in early drug discovery, its application in clinical development and scalable manufacturing is equally vital. The biopharma sector is intensively focused on digitising data flow from paper-based to fully integrated digital systems. This transformation enables real-time validation, error prevention, and operational optimization. For instance, digital batch records connected seamlessly with laboratory information management systems (LIMS), training databases, and enterprise resource planning (ERP) platforms create an environment where manufacturing mistakes are preemptively reduced, improving product quality and regulatory compliance. Sigma Mostafa, Chief Scientific Officer at KBI Biopharma, points out that partnerships with AI companies are thoroughly evaluated based on the novelty of technology, data quality and volume, clinical relevance, and proven scientific validation, a process essential to harness generative AI for developing uniquely targeted biopharmaceuticals.</w:t>
      </w:r>
      <w:r/>
    </w:p>
    <w:p>
      <w:r/>
      <w:r>
        <w:t>Manufacturing technology integration poses particular challenges in the CGT arena due to the intricacy of the therapies and the highly manual nature of many processes. Cory Smith from TriLink Biotechnologies describes the importance of specialized expertise in components such as viral vectors, plasmids, and editing technologies, which must be carefully matched with the right manufacturing partners to ensure product purity and safety. KBI Biopharma’s integration strategies exemplify a hybrid approach, combining acquisitions of specialized companies like Select, a premium cell line provider, with partnerships for fill-finish processes, demonstrating flexibility critical to addressing diverse client portfolios and evolving therapeutic modalities.</w:t>
      </w:r>
      <w:r/>
    </w:p>
    <w:p>
      <w:r/>
      <w:r>
        <w:t>The ongoing debate between vertical integration and specialised contract manufacturing partnerships reflects a nuanced industry reality. Vertical integration offers improved supply chain control, enhanced quality oversight, and potentially shortened timelines, but it is capital intensive and increases exposure to market volatility. Experts suggest hybrid models that combine in-house capabilities with strategic partnerships provide optimal balance. For example, early-stage development benefits significantly from vertically integrated workflows, ensuring smooth regulatory submissions and clinical trial initiation. However, as therapies advance, firms increasingly rely on specialized external partners to scale components like viral vector manufacturing, which demands unique technological proficiencies.</w:t>
      </w:r>
      <w:r/>
    </w:p>
    <w:p>
      <w:r/>
      <w:r>
        <w:t>Moreover, the biopharma sector is exploring new supply chain models specific to autologous cell therapies, which highlight the need for close regional manufacturing networks intimately connected with clinical sites. This super-localized manufacturing approach contrasts sharply with traditional centralized models. It promises enhanced responsiveness and reduced logistical delays, critical for diseases with rapid progression such as oncology. According to Bock, these “cell therapy pharmacies” could fundamentally reshape how therapies are prescribed, manufactured, and delivered, underscoring an evolution from a linear supply chain to a dynamic, patient-centric ecosystem.</w:t>
      </w:r>
      <w:r/>
    </w:p>
    <w:p>
      <w:r/>
      <w:r>
        <w:t>Intellectual property (IP) and licensing also play crucial roles in advancing biopharmaceutical innovations. Cell therapies, particularly, require balancing proprietary engineering of constructs with foundational manufacturing technologies that dramatically influence product safety and efficacy. Bock advises companies to focus on their core engineering expertise while partnering with firms that provide clinically validated manufacturing platforms, to avoid pitfalls witnessed in some program failures where insufficient attention was paid to the underlying cell scaffold and production processes. Mostafa adds that licensing agreements should consider proof of concept, reproducibility, analytical methods, scalability, freedom to operate, and long-term platform support to ensure technical and commercial success.</w:t>
      </w:r>
      <w:r/>
    </w:p>
    <w:p>
      <w:r/>
      <w:r>
        <w:t>In the context of service provision, there is ongoing discussion about the merits of one-stop-shop solutions versus specialist providers. Smith notes that highly specialised CDMOs focusing on critical elements such as drug substance manufacturing deliver the purity and performance necessary for successful therapies. While one-stop-shops can simplify contracting and quality systems, assembling a network of best-in-class specialists offers greater flexibility and ensures customers have access to top-tier expertise across all supply chain stages.</w:t>
      </w:r>
      <w:r/>
    </w:p>
    <w:p>
      <w:r/>
      <w:r>
        <w:t>Overall, the biopharmaceutical sector is embracing a future informed by integrated, data-driven partnerships and innovative manufacturing strategies tailored for complex molecules and cell therapies. Success in this environment demands a delicate balance of technological agility, collaborative synergy, and focused expertise, supported by robust regulatory and quality frameworks. As these modalities mature, companies that can effectively navigate these complexities with bespoke solutions will be best positioned to bring transformative therapies to patients worldwide.</w:t>
      </w:r>
      <w:r/>
    </w:p>
    <w:p>
      <w:r/>
      <w:r>
        <w:t xml:space="preserve">Source: </w:t>
      </w:r>
      <w:hyperlink r:id="rId9">
        <w:r>
          <w:rPr>
            <w:color w:val="0000EE"/>
            <w:u w:val="single"/>
          </w:rPr>
          <w:t>Noah Wire Services</w:t>
        </w:r>
      </w:hyperlink>
      <w:r/>
    </w:p>
    <w:p>
      <w:pPr>
        <w:pStyle w:val="Heading2"/>
      </w:pPr>
      <w:r>
        <w:t>Bibliography</w:t>
      </w:r>
      <w:r/>
    </w:p>
    <w:p>
      <w:r/>
      <w:r>
        <w:t xml:space="preserve">1. </w:t>
      </w:r>
      <w:hyperlink r:id="rId10">
        <w:r>
          <w:rPr>
            <w:color w:val="0000EE"/>
            <w:u w:val="single"/>
          </w:rPr>
          <w:t>https://www.biopharminternational.com/view/drug-digest-biopharma-landscape-evolves-through-strategic-alliances-and-technology-integration</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pharminternational.com/view/drug-digest-biopharma-landscape-evolves-through-strategic-alliances-and-technology-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