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insights at COP30 reveal supply chain emissions as a critical climate blind spot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At COP30 in Belém, governments and businesses were forced to move from pledges to proof: adaptation, resilience and the credibility of existing commitments dominated discussions. According to the original report from EcoVadis and Boston Consulting Group (BCG), one stark omission from many corporate climate strategies is supply‑chain emissions , Scope 3 , which the study says could expose companies to more than $500 billion in annual liabilities by 2030 if left unmanaged.</w:t>
      </w:r>
      <w:r/>
    </w:p>
    <w:p>
      <w:r/>
      <w:r>
        <w:t>Industry data in the EcoVadis–BCG analysis shows Scope 3 emissions are, on average, 21 times larger than a company’s direct operational emissions (Scopes 1 and 2). By contrast, a separate joint BCG–CDP report finds an even larger disparity , roughly 26 times higher , highlighting that methodological differences and sample sets can produce divergent headline ratios. Both reports, however, point to the same problem: limited corporate visibility and weak target‑setting. EcoVadis–BCG reports that only 24% of companies disclose Scope 3, and just 8% have formal reduction targets; the BCG–CDP work puts the share of companies with Scope 3 targets at about 15%.</w:t>
      </w:r>
      <w:r/>
    </w:p>
    <w:p>
      <w:r/>
      <w:r>
        <w:t>The business consequences are already material. The EcoVadis–BCG report and subsequent coverage note that physical shocks , extreme floods in Europe, heat‑related disruptions in Asia , are translating climate exposure into supply‑chain fragility. At the same time, a wave of regulatory change from the EU’s Corporate Sustainability Reporting Directive and Carbon Border Adjustment Mechanism to anticipated U.S. Securities and Exchange Commission disclosure rules is increasing the costs of opacity. According to the analysis, companies that lack supplier‑level emissions visibility risk higher operating costs, restricted financing and regulatory shocks; those that engage suppliers early can capture three to six times the returns on decarbonisation investments.</w:t>
      </w:r>
      <w:r/>
    </w:p>
    <w:p>
      <w:r/>
      <w:r>
        <w:t>The reports identify practical barriers , scale, fragmented supplier capabilities and inconsistent data , but also point to rapid progress in tools and standards. Digital reporting platforms, common calculation methodologies and collaborative data hubs are lowering the friction of supplier reporting, enabling companies to move from raw data collection to value‑creating insight: identifying carbon hotspots, inefficient processes and concentration risks that offer opportunities to cut costs and spur innovation across procurement, finance and operations.</w:t>
      </w:r>
      <w:r/>
    </w:p>
    <w:p>
      <w:r/>
      <w:r>
        <w:t>Leading firms, the analyses argue, apply five mutually reinforcing levers. They: treat suppliers as partners and invest in joint reduction projects; build structured greenhouse‑gas inventories and focus on the highest‑impact categories; make emissions performance a C‑suite priority with clear accountability; develop company‑wide transition plans that align regulation, investment and operations; and allocate budgets to sustain supplier engagement and data systems. BCG’s accompanying guidance frames this approach as a path from “liability to advantage,” where disciplined execution turns a financial and regulatory risk into competitive resilience.</w:t>
      </w:r>
      <w:r/>
    </w:p>
    <w:p>
      <w:r/>
      <w:r>
        <w:t>Taken together, the research presented at COP30 makes a simple editorial point: inaction on Scope 3 is increasingly the more expensive option. According to the original report, the $500 billion figure should be read as a stress test for corporate climate strategies , a prompt to embed transparency and collaboration across supply chains so that corporate commitments announced on the global stage are backed by credible plans on the ground.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https://www.esgtoday.com/guest-post-the-500-billion-case-for-managing-scope-3-emissions/?utm_source=rss&amp;utm_medium=rss&amp;utm_campaign=guest-post-the-500-billion-case-for-managing-scope-3-emissions</w:t>
        </w:r>
      </w:hyperlink>
      <w:r>
        <w:t xml:space="preserve"> - Please view link - unable to able to access data</w:t>
      </w:r>
      <w:r/>
    </w:p>
    <w:p>
      <w:pPr>
        <w:pStyle w:val="ListNumber"/>
        <w:spacing w:line="240" w:lineRule="auto"/>
        <w:ind w:left="720"/>
      </w:pPr>
      <w:r/>
      <w:hyperlink r:id="rId11">
        <w:r>
          <w:rPr>
            <w:color w:val="0000EE"/>
            <w:u w:val="single"/>
          </w:rPr>
          <w:t>https://www.bcg.com/press/23september2025-climate-inaction-cost-companies-500-billion-annual-liabilities</w:t>
        </w:r>
      </w:hyperlink>
      <w:r>
        <w:t xml:space="preserve"> - A report by EcoVadis and Boston Consulting Group (BCG) reveals that neglecting supply chain emissions (Scope 3) could lead to over $500 billion in annual liabilities globally by 2030. The study highlights that, on average, Scope 3 emissions are 21 times larger than direct operational emissions (Scopes 1 and 2). Despite this, only 24% of companies report on these emissions, and just 8% have set reduction targets. The report emphasizes the importance of engaging suppliers and investing in decarbonization to mitigate these risks and strengthen supply chain resilience.</w:t>
      </w:r>
      <w:r/>
    </w:p>
    <w:p>
      <w:pPr>
        <w:pStyle w:val="ListNumber"/>
        <w:spacing w:line="240" w:lineRule="auto"/>
        <w:ind w:left="720"/>
      </w:pPr>
      <w:r/>
      <w:hyperlink r:id="rId12">
        <w:r>
          <w:rPr>
            <w:color w:val="0000EE"/>
            <w:u w:val="single"/>
          </w:rPr>
          <w:t>https://www.cdp.net/en/press-releases/corporates-supply-chain-scope-3-emissions-are-26-times-higher-than-their-operational-emissions</w:t>
        </w:r>
      </w:hyperlink>
      <w:r>
        <w:t xml:space="preserve"> - A joint report by Boston Consulting Group (BCG) and CDP reveals that, on average, corporate supply chain emissions (Scope 3) are 26 times higher than direct operational emissions (Scopes 1 and 2). Despite this significant disparity, only 15% of companies have set targets to reduce their supply chain emissions. The report identifies key drivers for action, including a climate-responsible board, supplier engagement, and internal carbon pricing. It also highlights that disclosed upstream emissions from sectors like manufacturing, retail, and materials suggest a carbon liability of over $335 billion.</w:t>
      </w:r>
      <w:r/>
    </w:p>
    <w:p>
      <w:pPr>
        <w:pStyle w:val="ListNumber"/>
        <w:spacing w:line="240" w:lineRule="auto"/>
        <w:ind w:left="720"/>
      </w:pPr>
      <w:r/>
      <w:hyperlink r:id="rId13">
        <w:r>
          <w:rPr>
            <w:color w:val="0000EE"/>
            <w:u w:val="single"/>
          </w:rPr>
          <w:t>https://www.supplychainbrain.com/articles/42538-study-companies-face-ballooning-costs-from-supply-chain-emissions</w:t>
        </w:r>
      </w:hyperlink>
      <w:r>
        <w:t xml:space="preserve"> - A study by EcoVadis and Boston Consulting Group (BCG) indicates that companies failing to manage their Scope 3 emissions could face more than $500 billion in annual liabilities by 2030. The research shows that, on average, Scope 3 emissions are 21 times higher than direct operational emissions. However, only 24% of companies currently report on these emissions, and just 8% have set reduction targets. The study suggests that investing in decarbonizing supply chains could yield returns of three to six times the initial investment.</w:t>
      </w:r>
      <w:r/>
    </w:p>
    <w:p>
      <w:pPr>
        <w:pStyle w:val="ListNumber"/>
        <w:spacing w:line="240" w:lineRule="auto"/>
        <w:ind w:left="720"/>
      </w:pPr>
      <w:r/>
      <w:hyperlink r:id="rId14">
        <w:r>
          <w:rPr>
            <w:color w:val="0000EE"/>
            <w:u w:val="single"/>
          </w:rPr>
          <w:t>https://www.bcg.com/publications/2025/liability-to-advantage-decarbonizing-supply-chain</w:t>
        </w:r>
      </w:hyperlink>
      <w:r>
        <w:t xml:space="preserve"> - An article by BCG discusses how companies can transform unmanaged Scope 3 emissions from a liability into an opportunity. It highlights that, on average, Scope 3 emissions are 21 times larger than direct operational emissions. The article emphasizes the importance of engaging suppliers, measuring results, creating an accountability plan, and funding the program to achieve decarbonization goals. It also notes that companies that successfully set and hit their Scope 3 targets focus on these five priorities and that engaging with suppliers has the biggest overall impact.</w:t>
      </w:r>
      <w:r/>
    </w:p>
    <w:p>
      <w:pPr>
        <w:pStyle w:val="ListNumber"/>
        <w:spacing w:line="240" w:lineRule="auto"/>
        <w:ind w:left="720"/>
      </w:pPr>
      <w:r/>
      <w:hyperlink r:id="rId15">
        <w:r>
          <w:rPr>
            <w:color w:val="0000EE"/>
            <w:u w:val="single"/>
          </w:rPr>
          <w:t>https://carbon-pulse.com/438351/</w:t>
        </w:r>
      </w:hyperlink>
      <w:r>
        <w:t xml:space="preserve"> - A report warns that companies could face over $500 billion in annual liabilities from unmanaged Scope 3 emissions by 2030. The study, published by EcoVadis and Boston Consulting Group (BCG), highlights that Scope 3 emissions are, on average, 21 times larger than direct operational emissions. Despite this, only 24% of companies report on these emissions, and just 8% have set reduction targets. The report suggests that targeted supplier engagement and investment could deliver returns of up to six times the initial investment.</w:t>
      </w:r>
      <w:r/>
    </w:p>
    <w:p>
      <w:pPr>
        <w:pStyle w:val="ListNumber"/>
        <w:spacing w:line="240" w:lineRule="auto"/>
        <w:ind w:left="720"/>
      </w:pPr>
      <w:r/>
      <w:hyperlink r:id="rId16">
        <w:r>
          <w:rPr>
            <w:color w:val="0000EE"/>
            <w:u w:val="single"/>
          </w:rPr>
          <w:t>https://www.tmcnet.com/usubmit/2025/09/23/10259274.htm</w:t>
        </w:r>
      </w:hyperlink>
      <w:r>
        <w:t xml:space="preserve"> - A report by EcoVadis and Boston Consulting Group (BCG) reveals that neglecting supply chain emissions (Scope 3) could lead to over $500 billion in annual liabilities globally by 2030. The study highlights that, on average, Scope 3 emissions are 21 times larger than direct operational emissions (Scopes 1 and 2). Despite this, only 24% of companies report on these emissions, and just 8% have set reduction targets. The report emphasizes the importance of engaging suppliers and investing in decarbonization to mitigate these risks and strengthen supply chain resilience.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sgtoday.com/guest-post-the-500-billion-case-for-managing-scope-3-emissions/?utm_source=rss&amp;utm_medium=rss&amp;utm_campaign=guest-post-the-500-billion-case-for-managing-scope-3-emissions" TargetMode="External"/><Relationship Id="rId11" Type="http://schemas.openxmlformats.org/officeDocument/2006/relationships/hyperlink" Target="https://www.bcg.com/press/23september2025-climate-inaction-cost-companies-500-billion-annual-liabilities" TargetMode="External"/><Relationship Id="rId12" Type="http://schemas.openxmlformats.org/officeDocument/2006/relationships/hyperlink" Target="https://www.cdp.net/en/press-releases/corporates-supply-chain-scope-3-emissions-are-26-times-higher-than-their-operational-emissions" TargetMode="External"/><Relationship Id="rId13" Type="http://schemas.openxmlformats.org/officeDocument/2006/relationships/hyperlink" Target="https://www.supplychainbrain.com/articles/42538-study-companies-face-ballooning-costs-from-supply-chain-emissions" TargetMode="External"/><Relationship Id="rId14" Type="http://schemas.openxmlformats.org/officeDocument/2006/relationships/hyperlink" Target="https://www.bcg.com/publications/2025/liability-to-advantage-decarbonizing-supply-chain" TargetMode="External"/><Relationship Id="rId15" Type="http://schemas.openxmlformats.org/officeDocument/2006/relationships/hyperlink" Target="https://carbon-pulse.com/438351/" TargetMode="External"/><Relationship Id="rId16" Type="http://schemas.openxmlformats.org/officeDocument/2006/relationships/hyperlink" Target="https://www.tmcnet.com/usubmit/2025/09/23/10259274.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