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McKinsey warns of geopolitical and technological disruptors transforming corporate and investment banking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past two years have delivered unusually strong results for corporate and investment banking (CIB), but the sector now faces a trio of forces that could reshape its economics and competitive landscape. According to the original report by McKinsey’s Financial Services Practice, CIB revenues reached $3.0 trillion in 2024 and industry return on equity (ROE) averaged above 13 percent , comfortably ahead of cost of capital , yet the firm warns that macro‑geopolitical volatility, the rise of specialised attacker firms, and rapid advances at the digital frontier threaten to disrupt that performance.</w:t>
      </w:r>
      <w:r/>
    </w:p>
    <w:p>
      <w:r/>
      <w:r>
        <w:t>McKinsey’s analysis finds that the bulk of CIB revenue remains rooted in commercial lending and cash management , more than 85 percent in 2024 , with more complex trading and advisory products accounting for under 15 percent. Geographically, the Americas, EMEA and Asia‑Pacific account for roughly 31 percent, 26 percent and 43 percent of revenues respectively, with China the single largest market in APAC but still difficult to access for many foreign banks. The report notes a persistent spread between top and bottom performers, and projects that a disciplined set of strategic moves could lift profitability for a representative corporate‑oriented firm by 20–30 percent before macro effects and investment costs.</w:t>
      </w:r>
      <w:r/>
    </w:p>
    <w:p>
      <w:r/>
      <w:r>
        <w:t>The first major theme McKinsey highlights is geopolitical volatility. The report argues that demographic shifts, trade realignments, national‑security priorities and sectoral reweightings could slow growth in key corridors and change the composition of bank assets and client needs. It recommends that banks build “nerve centres” to monitor relevant geopolitical elements, prioritise the few issues that matter to their franchise, and adopt “no regret” moves , for example expanding working‑capital lines or refreshing footprint decisions , so geopolitics becomes a strategic input rather than merely a risk to be managed. Market behaviour appears to be reflecting these concerns: industry surveys and market‑level commentary show corporates extending and enlarging FX hedges in response to heightened geopolitical uncertainty, underscoring the demand pull for transaction‑banking and risk‑management solutions.</w:t>
      </w:r>
      <w:r/>
    </w:p>
    <w:p>
      <w:r/>
      <w:r>
        <w:t>Second, McKinsey documents the ascent of attacker firms: independent investment banks, large non‑bank market makers, private‑credit houses and specialist FX/payments players are achieving CIB‑scale economics in focused products. Private credit, which McKinsey estimates had grown into a roughly $2 trillion managed asset class by 2023, now finances the majority of middle‑market sponsor deals and is moving to address much larger pools of loan balances. The report sets out six bank responses to private capital , from agency originate‑to‑distribute models and targeted balance‑sheet allocation to forward‑flow partnerships and dedicated asset‑management vehicles , and stresses that banks must enhance underwriting, monitoring and workout capabilities as private capital reshapes the financing ecosystem.</w:t>
      </w:r>
      <w:r/>
    </w:p>
    <w:p>
      <w:r/>
      <w:r>
        <w:t>The third theme is technological: agentic AI and digital assets are moving the frontier from pilot projects to potentially structural change. McKinsey describes how autonomous AI agents could reconfigure front‑, middle‑ and back‑office workflows , turning periodic processes into continuous, real‑time operations for treasury, settlement and surveillance , and change staffing models so junior bankers manage squads of AI agents while senior bankers focus on higher‑value client interactions. On digital assets, the report points to rapid growth in stablecoin circulation (more than $300 billion, with on‑chain transactions averaging $20–30 billion daily and annual on‑chain volumes topping $27 trillion in 2024) and accelerating tokenisation use cases across cash, bonds, funds and private‑credit issuance. McKinsey urges banks to stand up minimum viable value chains , for example on‑chain repo and collateral programmes or tokenised money‑market distribution for corporate treasurers , while building custody, smart‑contract risk controls and regulatory engagement.</w:t>
      </w:r>
      <w:r/>
    </w:p>
    <w:p>
      <w:r/>
      <w:r>
        <w:t>To navigate these shifts the report prescribes a four‑part playbook anchored on strategic agility: respond to immediate uncertainty, build operational flexibility, capture structural shifts (notably private capital), and continue targeted innovation in AI, transaction banking and digital assets. Practically, that means pursuing radical simplification to lower cost‑to‑income ratios (the report cites examples of 20 percent plus savings on addressable cost bases), exploiting “one‑bank” synergies across transaction banking, FX and lending to increase client stickiness, and reforming capital management to improve capital accuracy and ROE (a sampled 30‑bank review suggested 30–70 basis‑point ROE uplift from structured RWA reviews).</w:t>
      </w:r>
      <w:r/>
    </w:p>
    <w:p>
      <w:r/>
      <w:r>
        <w:t>The playbook is deliberately time‑phased. Short‑term actions , cost reduction, readiness and client‑facing no‑regret moves , are expected to unlock capital and deliver more than half of the near‑term operating improvement. Medium‑term work on operating flexibility and capital productivity should rebalance income toward lower‑risk, scalable franchises. Over the longer horizon, bets on private capital distribution, agentic AI and digital platforms could deliver compounding returns and durable differentiation.</w:t>
      </w:r>
      <w:r/>
    </w:p>
    <w:p>
      <w:r/>
      <w:r>
        <w:t>Contemporary market commentary from major banks underlines parts of McKinsey’s thesis. Leaders at several global banks have signalled resilient markets franchises and continued investment in technology: executives have publicly expected sequential increases in markets and investment‑banking revenues for recent quarters while also outlining higher expense envelopes tied to strategic investments and growth, and some institutions are raising medium‑term return targets as they deploy capital and buybacks alongside technology spending. Such guidance confirms that incumbents are both confident in revenue prospects and prepared to fund structural transformation.</w:t>
      </w:r>
      <w:r/>
    </w:p>
    <w:p>
      <w:r/>
      <w:r>
        <w:t>McKinsey is careful to preserve editorial distance from market hype: the firm notes that while agentic AI and tokenisation offer real upside, many banks have so far failed to deliver revenue growth or efficiency at scale from early pilots. It identifies three accelerants to move beyond pilots , full embrace of agentic AI, decisive adoption and talent strategies, and robust guardrails for explainability and compliance , and calls for focused, bank‑controlled value chains in digital assets rather than unfocused experimentation.</w:t>
      </w:r>
      <w:r/>
    </w:p>
    <w:p>
      <w:r/>
      <w:r>
        <w:t>If executed comprehensively, McKinsey’s modelling suggests the nine strategic initiatives in the playbook could produce a net 20–30 percent increase in long‑term profitability for a representative CIB, with only a modest net increase in RWAs as capital management improves. The prize, the report concludes, is a structurally different bank: faster, fee‑led, capital‑efficient and better able to withstand shocks , in short, positioned to deliver ROEs structurally above 15 percent even amid heightened competition and geopolitical uncertainty.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https://www.mckinsey.com/industries/financial-services/our-insights/cib-in-an-era-of-volatility-ai-and-nonbank-challengers</w:t>
        </w:r>
      </w:hyperlink>
      <w:r>
        <w:t xml:space="preserve"> - Please view link - unable to able to access data</w:t>
      </w:r>
      <w:r/>
    </w:p>
    <w:p>
      <w:pPr>
        <w:pStyle w:val="ListNumber"/>
        <w:spacing w:line="240" w:lineRule="auto"/>
        <w:ind w:left="720"/>
      </w:pPr>
      <w:r/>
      <w:hyperlink r:id="rId10">
        <w:r>
          <w:rPr>
            <w:color w:val="0000EE"/>
            <w:u w:val="single"/>
          </w:rPr>
          <w:t>https://www.mckinsey.com/industries/financial-services/our-insights/cib-in-an-era-of-volatility-ai-and-nonbank-challengers</w:t>
        </w:r>
      </w:hyperlink>
      <w:r>
        <w:t xml:space="preserve"> - This McKinsey report examines the current state of corporate and investment banking (CIB), highlighting strong performance with revenues reaching $3.0 trillion in 2024 and a return on equity (ROE) averaging above 13%. It identifies three major challenges: macroeconomic and geopolitical volatility, the rise of non-bank challengers, and advancements in AI and digital assets. The report proposes a four-part playbook focusing on strategic agility to address these challenges, aiming to improve profitability by 20 to 30 percent before considering macroeconomic factors and investment costs.</w:t>
      </w:r>
      <w:r/>
    </w:p>
    <w:p>
      <w:pPr>
        <w:pStyle w:val="ListNumber"/>
        <w:spacing w:line="240" w:lineRule="auto"/>
        <w:ind w:left="720"/>
      </w:pPr>
      <w:r/>
      <w:hyperlink r:id="rId11">
        <w:r>
          <w:rPr>
            <w:color w:val="0000EE"/>
            <w:u w:val="single"/>
          </w:rPr>
          <w:t>https://www.reuters.com/business/finance/bank-america-ceo-expects-markets-revenue-jump-fourth-quarter-2025-12-10/</w:t>
        </w:r>
      </w:hyperlink>
      <w:r>
        <w:t xml:space="preserve"> - Bank of America's CEO, Brian Moynihan, announced expectations of a high single-digit to approximately 10% increase in markets revenue for the fourth quarter of 2025. This optimistic outlook persists despite market volatility stemming from concerns over an AI stock bubble and uncertainties regarding Federal Reserve rate decisions. The bank also plans to enhance stock buybacks in Q4 and has raised its medium-term return on tangible common equity target to 16–18%, up from a mid-teens range, as part of a broader strategy to strengthen its competitive position through technology investments and expansion.</w:t>
      </w:r>
      <w:r/>
    </w:p>
    <w:p>
      <w:pPr>
        <w:pStyle w:val="ListNumber"/>
        <w:spacing w:line="240" w:lineRule="auto"/>
        <w:ind w:left="720"/>
      </w:pPr>
      <w:r/>
      <w:hyperlink r:id="rId12">
        <w:r>
          <w:rPr>
            <w:color w:val="0000EE"/>
            <w:u w:val="single"/>
          </w:rPr>
          <w:t>https://www.reuters.com/business/finance/jpmorgan-chase-expects-fourth-quarter-investment-banking-revenue-rise-2025-12-09/</w:t>
        </w:r>
      </w:hyperlink>
      <w:r>
        <w:t xml:space="preserve"> - JPMorgan Chase anticipates a low-single-digit percentage increase in investment banking revenue and a low-teens percentage rise in markets revenue for the fourth quarter. The bank projects its expenses to rise to approximately $105 billion in 2026, driven by growth and volume-related costs, along with strategic investments, particularly within the consumer and community banking division. This projection led to a 4.3% drop in JPMorgan shares, marking the steepest single-day decline since April 4.</w:t>
      </w:r>
      <w:r/>
    </w:p>
    <w:p>
      <w:pPr>
        <w:pStyle w:val="ListNumber"/>
        <w:spacing w:line="240" w:lineRule="auto"/>
        <w:ind w:left="720"/>
      </w:pPr>
      <w:r/>
      <w:hyperlink r:id="rId13">
        <w:r>
          <w:rPr>
            <w:color w:val="0000EE"/>
            <w:u w:val="single"/>
          </w:rPr>
          <w:t>https://www.reuters.com/business/finance/citigroup-cfo-mason-expects-investment-banking-climb-mid-20s-fourth-quarter-2025-12-09/</w:t>
        </w:r>
      </w:hyperlink>
      <w:r>
        <w:t xml:space="preserve"> - Citigroup's CFO, Mark Mason, anticipates a significant rise in investment banking fees—about 25% year-over-year—in the fourth quarter of 2025, driven by strong momentum in mergers and acquisitions. Despite broader economic uncertainties, capital markets remain active. While investment banking is thriving, market revenues are projected to decline slightly compared to the previous year. The bank is also undertaking a major restructuring effort aimed at cutting costs and streamlining operations, with two-thirds of these transformation initiatives nearing completion.</w:t>
      </w:r>
      <w:r/>
    </w:p>
    <w:p>
      <w:pPr>
        <w:pStyle w:val="ListNumber"/>
        <w:spacing w:line="240" w:lineRule="auto"/>
        <w:ind w:left="720"/>
      </w:pPr>
      <w:r/>
      <w:hyperlink r:id="rId14">
        <w:r>
          <w:rPr>
            <w:color w:val="0000EE"/>
            <w:u w:val="single"/>
          </w:rPr>
          <w:t>https://www.reuters.com/business/finance/bbva-eyes-doubling-investment-banking-revenues-report-says-2025-03-12/</w:t>
        </w:r>
      </w:hyperlink>
      <w:r>
        <w:t xml:space="preserve"> - Spain's BBVA aims to double the revenues of its corporate and investment banking division within the next few years. In 2024, the unit achieved a record revenue of €5.8 billion, marking a 22% increase over 2023. BBVA’s total revenue reached nearly €35.5 billion in 2024, making it the country’s second-largest bank by market value. The bank is expected to announce a new strategy targeting this revenue goal by 2029, supported by increased hiring and a significant expansion of BBVA’s Brazil office.</w:t>
      </w:r>
      <w:r/>
    </w:p>
    <w:p>
      <w:pPr>
        <w:pStyle w:val="ListNumber"/>
        <w:spacing w:line="240" w:lineRule="auto"/>
        <w:ind w:left="720"/>
      </w:pPr>
      <w:r/>
      <w:hyperlink r:id="rId15">
        <w:r>
          <w:rPr>
            <w:color w:val="0000EE"/>
            <w:u w:val="single"/>
          </w:rPr>
          <w:t>https://www.reuters.com/markets/currencies/geopolitical-angst-prompts-over-60-companies-hedge-fx-longer-survey-shows-2025-03-28/</w:t>
        </w:r>
      </w:hyperlink>
      <w:r>
        <w:t xml:space="preserve"> - A 2025 global survey by MillTechFX reveals that over 60% of companies worldwide are extending the duration or increasing the size of their currency hedges in response to escalating geopolitical tensions. Surveying 750 senior corporate finance officers across Europe, the U.S., and the U.K., the study attributes currency market volatility to rising geopolitical uncertainty driven by U.S. President Donald Trump's return, unpredictable trade policies, and global conflicts. Around 62% of respondents plan to adjust their FX strategies, primarily by lengthening hedges.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financial-services/our-insights/cib-in-an-era-of-volatility-ai-and-nonbank-challengers" TargetMode="External"/><Relationship Id="rId11" Type="http://schemas.openxmlformats.org/officeDocument/2006/relationships/hyperlink" Target="https://www.reuters.com/business/finance/bank-america-ceo-expects-markets-revenue-jump-fourth-quarter-2025-12-10/" TargetMode="External"/><Relationship Id="rId12" Type="http://schemas.openxmlformats.org/officeDocument/2006/relationships/hyperlink" Target="https://www.reuters.com/business/finance/jpmorgan-chase-expects-fourth-quarter-investment-banking-revenue-rise-2025-12-09/" TargetMode="External"/><Relationship Id="rId13" Type="http://schemas.openxmlformats.org/officeDocument/2006/relationships/hyperlink" Target="https://www.reuters.com/business/finance/citigroup-cfo-mason-expects-investment-banking-climb-mid-20s-fourth-quarter-2025-12-09/" TargetMode="External"/><Relationship Id="rId14" Type="http://schemas.openxmlformats.org/officeDocument/2006/relationships/hyperlink" Target="https://www.reuters.com/business/finance/bbva-eyes-doubling-investment-banking-revenues-report-says-2025-03-12/" TargetMode="External"/><Relationship Id="rId15" Type="http://schemas.openxmlformats.org/officeDocument/2006/relationships/hyperlink" Target="https://www.reuters.com/markets/currencies/geopolitical-angst-prompts-over-60-companies-hedge-fx-longer-survey-shows-2025-03-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