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Belgium’s evolving valuation landscape: navigating tax reforms, innovation incentives, and cross-border M&amp;A complexities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Belgium occupies a distinctive position in the European economy, acting as a logistics and institutional hub and hosting clusters in pharmaceuticals and technology. That configuration makes the country a frequent stage for cross-border mergers and acquisitions,and it raises the stakes for accurate business valuation, financial due diligence (FDD), purchase price allocation (PPA) and rigorous financial forecasting. According to the OECD Economic Survey of Belgium 2024, these advisory services are essential for navigating the complexity of the Belgian market. </w:t>
      </w:r>
      <w:r/>
    </w:p>
    <w:p>
      <w:r/>
      <w:r>
        <w:t xml:space="preserve">Regulatory and market context matters. Belgian reporting commonly uses a mix of Belgian GAAP (BGAAP) and International Financial Reporting Standards (IFRS),and recent policy developments have widened the set of tax and incentive considerations that valuers and deal teams must model. Industry advisers note enhancements to Belgium’s innovation incentives,including the Innovation Income Deduction, which can materially affect after‑tax cash flows and asset values. KPMG Belgium and Osborne Clarke have set out changes and regional grant structures that make R&amp;D tax reliefs and accelerated depreciation important inputs to valuation and forecasting models. ClearTax and other guides similarly emphasise the Investment Deduction and other measures that buyers and sellers must incorporate into transaction planning. </w:t>
      </w:r>
      <w:r/>
    </w:p>
    <w:p>
      <w:r/>
      <w:r>
        <w:t xml:space="preserve">Valuation practice in Belgium: context and methods Business valuation in Belgium is required across a broad set of situations, M&amp;A, intra‑group restructurings and litigation among them, and must reflect local specifics such as tax credits, indexed labour costs and sectoral risk premia. Standard approaches remain the Discounted Cash Flow (DCF) for growth firms and multiples (EBITDA/EBIT) for established industrial businesses. Global advisory firms stress the need for defensible, audit‑grade valuations that reconcile local fiscal rules with international standards. PwC Belgium, for example, positions valuation, PPA and impairment testing as core services to ensure prices and post‑deal accounts withstand scrutiny. </w:t>
      </w:r>
      <w:r/>
    </w:p>
    <w:p>
      <w:r/>
      <w:r>
        <w:t xml:space="preserve">Financial due diligence: uncovering quality and contingent risk Financial due diligence serves as the investigative shield for buyers. In Belgium’s landscape, where many targets are private or family‑owned, FDD focuses on Quality of Earnings (QofE),working capital normalisation and the identification of “debt‑like” items. Practitioners highlight Belgian‑specific exposures such as accrued social security liabilities,holiday pay accruals,long‑term pension obligations and environmental remediation provisions. The OECD report underlines that these structural issues are central to deal outcomes across logistics and manufacturing clusters. Sound FDD not only verifies historical performance but also creates the evidential basis for negotiating adjustments to enterprise value. </w:t>
      </w:r>
      <w:r/>
    </w:p>
    <w:p>
      <w:r/>
      <w:r>
        <w:t xml:space="preserve">Purchase Price Allocation and post‑closing accounting Under IFRS 3 and comparable local rules for larger entities,the purchase price must be allocated to identifiable assets and liabilities at fair value. PPA is frequently the most technically demanding post‑deal exercise in Belgium’s high‑tech and pharmaceutical sectors,where intangible assets, customer relationships,brands,IP developed under R&amp;D grants and assembled workforce values, can represent a large component of consideration. High‑quality PPA reports must be audit‑ready and include deferred tax modelling for fair value adjustments so that post‑closing amortisation,impairment and tax impacts are clear to both management and auditors. </w:t>
      </w:r>
      <w:r/>
    </w:p>
    <w:p>
      <w:r/>
      <w:r>
        <w:t xml:space="preserve">Forecasting and scenario modelling: the bridge to lenders and investors Robust financial forecasting in Belgium goes beyond simple trend extrapolation. Advisors build integrated three‑statement models (Profit &amp; Loss,Balance Sheet and Cash Flow) that incorporate Belgian‑specific cost drivers such as indexed wages and social security contributions. Scenario planning, testing wage indexation,energy‑price volatility or regulatory changes, has become standard practice when negotiating financing with major Belgian lenders such as KBC,BNP Paribas Fortis or Belfius. Debt capacity modelling and operational budgeting are critical for leveraged buyouts and expansion financing alike. </w:t>
      </w:r>
      <w:r/>
    </w:p>
    <w:p>
      <w:r/>
      <w:r>
        <w:t xml:space="preserve">Policy shifts and tax reform: what is changing for deals Recent policy and tax developments increase the importance of precise valuations and planning. KPMG and Osborne Clarke document strengthened tax incentives for innovation,and practitioners point to the need to capitalise these benefits correctly in forecasts and PPAs. Separately,the Belgian tax reform due to take effect in 2026 introduces a 10% tax on capital gains for certain financial assets,including shares and bonds,which could materially affect exit planning for family‑owned businesses and private equity. According to analysis of the reform,the new regime heightens the value of obtaining professionally defensible valuations to qualify for exemptions and optimise transfer structures. </w:t>
      </w:r>
      <w:r/>
    </w:p>
    <w:p>
      <w:r/>
      <w:r>
        <w:t xml:space="preserve">A practical example of integration A cross‑border acquisition in the Belgian logistics sector illustrates how these disciplines interact. In that case an adviser undertaking FDD discovered inflated EBITDA driven by non‑recurring insurance receipts and an unrecorded €1.5 million environmental liability. The subsequent QofE adjustment reduced enterprise value by €3 million,strengthening the buyer’s negotiating position. Post‑closing,PPA work identified several million euros of customer‑relationship and strategic land‑use intangible value,allowing for optimised amortisation and tax planning while the IFRS‑based forecast model incorporated wage indexation and expansion costs to preserve the buyer’s IRR targets. </w:t>
      </w:r>
      <w:r/>
    </w:p>
    <w:p>
      <w:r/>
      <w:r>
        <w:t xml:space="preserve">Advisers and claims Specialist firms and networks position themselves as one‑stop providers for valuation,FDD,PPA and forecasting,claiming that integrated workstreams reduce communication gaps and accelerate deal timelines. The company that produced the lead material presents its approach as combining local market insight with global standards and describes its outputs as “analytical backbone” rather than mere reports. Readers should treat firm claims with editorial distance and seek independent corroboration of methodologies and outcomes when selecting advisers. </w:t>
      </w:r>
      <w:r/>
    </w:p>
    <w:p>
      <w:r/>
      <w:r>
        <w:t>Conclusion In Belgium’s interconnected economy,precision in valuation,FDD,PPA and forecasting is not optional, it is central to preserving value and avoiding post‑deal surprises. Government incentives for R&amp;D and imminent tax reforms reinforce the need to model fiscal effects carefully. Industry data and advisory practice show that integrated, audit‑grade analysis of historic performance, contingent liabilities and future cash flows is the essential currency of successful transactions in Belgium’s complex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https://aviaanaccounting.com/business-valuation-fdd-ppa-and-financial-forecasting-services-in-belgium/</w:t>
        </w:r>
      </w:hyperlink>
      <w:r>
        <w:t xml:space="preserve"> - Please view link - unable to able to access data</w:t>
      </w:r>
      <w:r/>
    </w:p>
    <w:p>
      <w:pPr>
        <w:pStyle w:val="ListNumber"/>
        <w:spacing w:line="240" w:lineRule="auto"/>
        <w:ind w:left="720"/>
      </w:pPr>
      <w:r/>
      <w:hyperlink r:id="rId11">
        <w:r>
          <w:rPr>
            <w:color w:val="0000EE"/>
            <w:u w:val="single"/>
          </w:rPr>
          <w:t>https://www.oecd.org/economic-surveys/belgium-2024-578fb44b-en.htm</w:t>
        </w:r>
      </w:hyperlink>
      <w:r>
        <w:t xml:space="preserve"> - The OECD Economic Survey of Belgium 2024 provides an in-depth analysis of the country's economic performance, highlighting its strategic position in the European economy. It discusses Belgium's role as a hub for logistics, pharmaceuticals, and technology, emphasizing the importance of understanding financial mechanics for investors and business owners. The report underscores the necessity of services like business valuation, financial due diligence (FDD), purchase price allocation (PPA), and financial forecasting to navigate the complex Belgian market effectively.</w:t>
      </w:r>
      <w:r/>
    </w:p>
    <w:p>
      <w:pPr>
        <w:pStyle w:val="ListNumber"/>
        <w:spacing w:line="240" w:lineRule="auto"/>
        <w:ind w:left="720"/>
      </w:pPr>
      <w:r/>
      <w:hyperlink r:id="rId12">
        <w:r>
          <w:rPr>
            <w:color w:val="0000EE"/>
            <w:u w:val="single"/>
          </w:rPr>
          <w:t>https://home.kpmg/xx/en/home/insights/2024/12/ctx-tax-incentives-for-innovation-and-r-d-recent-developments.html</w:t>
        </w:r>
      </w:hyperlink>
      <w:r>
        <w:t xml:space="preserve"> - KPMG Belgium's article on tax incentives for innovation and R&amp;D discusses recent developments aimed at enhancing Belgium's competitiveness in the global market. It details the Innovation Income Deduction (IID), allowing companies to deduct 85% of qualifying innovation income, and other incentives like accelerated depreciation and investment deductions. These measures are designed to support businesses in sectors such as logistics, pharmaceuticals, and technology, aligning with the need for sophisticated financial services in Belgium.</w:t>
      </w:r>
      <w:r/>
    </w:p>
    <w:p>
      <w:pPr>
        <w:pStyle w:val="ListNumber"/>
        <w:spacing w:line="240" w:lineRule="auto"/>
        <w:ind w:left="720"/>
      </w:pPr>
      <w:r/>
      <w:hyperlink r:id="rId13">
        <w:r>
          <w:rPr>
            <w:color w:val="0000EE"/>
            <w:u w:val="single"/>
          </w:rPr>
          <w:t>https://www.pwc.be/en/services/deals/valuation-services.html</w:t>
        </w:r>
      </w:hyperlink>
      <w:r>
        <w:t xml:space="preserve"> - PwC Belgium offers comprehensive valuation services, including business valuations, purchase price allocations (PPA), and impairment tests. Their expertise is crucial for entities involved in mergers and acquisitions, intra-group restructurings, and litigation. PwC's services ensure that valuations are defensible, objective, and aligned with international standards, providing the clarity and transparency necessary for successful transactions in Belgium's complex market.</w:t>
      </w:r>
      <w:r/>
    </w:p>
    <w:p>
      <w:pPr>
        <w:pStyle w:val="ListNumber"/>
        <w:spacing w:line="240" w:lineRule="auto"/>
        <w:ind w:left="720"/>
      </w:pPr>
      <w:r/>
      <w:hyperlink r:id="rId14">
        <w:r>
          <w:rPr>
            <w:color w:val="0000EE"/>
            <w:u w:val="single"/>
          </w:rPr>
          <w:t>https://www.cleartax.com/be/belgium-tax-incentives</w:t>
        </w:r>
      </w:hyperlink>
      <w:r>
        <w:t xml:space="preserve"> - ClearTax provides a detailed guide on Belgium's tax incentives, including the Investment Deduction, which allows businesses to claim additional deductions for investing in qualifying fixed assets. The article outlines the structure of these incentives, eligibility criteria, and how to claim them, offering valuable insights for companies operating in Belgium's logistics, pharmaceuticals, and technology sectors.</w:t>
      </w:r>
      <w:r/>
    </w:p>
    <w:p>
      <w:pPr>
        <w:pStyle w:val="ListNumber"/>
        <w:spacing w:line="240" w:lineRule="auto"/>
        <w:ind w:left="720"/>
      </w:pPr>
      <w:r/>
      <w:hyperlink r:id="rId15">
        <w:r>
          <w:rPr>
            <w:color w:val="0000EE"/>
            <w:u w:val="single"/>
          </w:rPr>
          <w:t>https://www.osborneclarke.com/insights/belgium-committed-strong-tax-incentives-innovation-and-rd</w:t>
        </w:r>
      </w:hyperlink>
      <w:r>
        <w:t xml:space="preserve"> - Osborne Clarke discusses Belgium's commitment to strong tax incentives for innovation and R&amp;D, highlighting regional grants and subsidies aimed at boosting R&amp;D investments. The article details the Innovation Income Deduction (IID), which allows companies to deduct 85% of qualifying innovation income, and other incentives designed to support businesses in sectors like logistics, pharmaceuticals, and technology.</w:t>
      </w:r>
      <w:r/>
    </w:p>
    <w:p>
      <w:pPr>
        <w:pStyle w:val="ListNumber"/>
        <w:spacing w:line="240" w:lineRule="auto"/>
        <w:ind w:left="720"/>
      </w:pPr>
      <w:r/>
      <w:hyperlink r:id="rId16">
        <w:r>
          <w:rPr>
            <w:color w:val="0000EE"/>
            <w:u w:val="single"/>
          </w:rPr>
          <w:t>https://www.best-value.be/en/belgian-tax-reform-business-transfer-2026/</w:t>
        </w:r>
      </w:hyperlink>
      <w:r>
        <w:t xml:space="preserve"> - Best Value's article on the Belgian tax reform of 2026 examines the introduction of a 10% tax on capital gains from various financial assets, including shares and bonds. The reform aims to promote tax fairness and has significant implications for business transfer strategies, particularly for family-owned businesses. It underscores the importance of obtaining professional and reliable valuations to secure exemptions under the new tax regime.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anaccounting.com/business-valuation-fdd-ppa-and-financial-forecasting-services-in-belgium/" TargetMode="External"/><Relationship Id="rId11" Type="http://schemas.openxmlformats.org/officeDocument/2006/relationships/hyperlink" Target="https://www.oecd.org/economic-surveys/belgium-2024-578fb44b-en.htm" TargetMode="External"/><Relationship Id="rId12" Type="http://schemas.openxmlformats.org/officeDocument/2006/relationships/hyperlink" Target="https://home.kpmg/xx/en/home/insights/2024/12/ctx-tax-incentives-for-innovation-and-r-d-recent-developments.html" TargetMode="External"/><Relationship Id="rId13" Type="http://schemas.openxmlformats.org/officeDocument/2006/relationships/hyperlink" Target="https://www.pwc.be/en/services/deals/valuation-services.html" TargetMode="External"/><Relationship Id="rId14" Type="http://schemas.openxmlformats.org/officeDocument/2006/relationships/hyperlink" Target="https://www.cleartax.com/be/belgium-tax-incentives" TargetMode="External"/><Relationship Id="rId15" Type="http://schemas.openxmlformats.org/officeDocument/2006/relationships/hyperlink" Target="https://www.osborneclarke.com/insights/belgium-committed-strong-tax-incentives-innovation-and-rd" TargetMode="External"/><Relationship Id="rId16" Type="http://schemas.openxmlformats.org/officeDocument/2006/relationships/hyperlink" Target="https://www.best-value.be/en/belgian-tax-reform-business-transfe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