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Norwegian M&amp;A success hinges on four key disciplines in a shifting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Norway’s corporate market, anchored by a sovereign wealth fund and advanced maritime, energy and technology sectors, rewards careful analysis as much as it does capital. Successful mergers and acquisitions in the country hinge on four interlocking disciplines , business valuation, financial due diligence (FDD), purchase price allocation (PPA) and forward-looking financial forecasting , which together translate local particularities into actionable investment decisions.</w:t>
      </w:r>
      <w:r/>
    </w:p>
    <w:p>
      <w:r/>
      <w:r>
        <w:t>Business valuation in Norway is shaped by a distinctive set of drivers. Commodity-linked sectors such as oil, gas and seafood remain sensitive to global price cycles, while an accelerating “green transition” and digitalisation are shifting value toward renewables and intellectual property. The Discounted Cash Flow (DCF) approach retains primacy for long-duration infrastructure and energy projects, yet market-based benchmarking against peers on the Oslo Børs is routinely used to test reasonableness. Industry practitioners must also embed Norwegian-specific risk premia , from NOK volatility to the country’s interest-rate profile , and recognise that a material share of deal value in Norway frequently resides in intangibles such as proprietary subsea technology, fishing quotas or brand equity.</w:t>
      </w:r>
      <w:r/>
    </w:p>
    <w:p>
      <w:r/>
      <w:r>
        <w:t>Financial due diligence in Norway goes beyond reconciling ledgers. Local FDD prioritises Quality of Earnings (QofE) analysis and the identification of debt-like exposures that can be unique to the jurisdiction , deferred tax items, holiday pay accruals (feriepenger), long-term lease liabilities and onerous pension obligations shaped by collective bargaining structures. FDD teams increasingly factor ESG and regulatory risk into the assessment, given Norway’s stringent environmental standards. According to PwC Norway, a tailored FDD approach combines financial, commercial and operational analysis with data-driven insight to maximise transactional value. Practical FDD outputs typically translate directly into negotiation levers for Sale and Purchase Agreements , for example, calibrating locked-box protections or completion-account mechanics and flagging tax and social-security contingencies (Arbeidsgiveravgift and MVA) that buyers must price or remedy.</w:t>
      </w:r>
      <w:r/>
    </w:p>
    <w:p>
      <w:r/>
      <w:r>
        <w:t>Post-closing, Purchase Price Allocation is a technical but consequential step under IFRS 3. Proper PPA allocates the purchase consideration to identifiable assets and liabilities at fair value, with any residual recorded as goodwill. In Norway’s knowledge-intensive sectors this often requires specialist valuation of intangible assets and rights , from R&amp;D-derived technology to government-granted licences and aquaculture quotas , and careful deferred tax modelling to reflect fair-value adjustments. As Deloitte’s valuation and modelling services note, robust valuation frameworks (DCF, multiples, option pricing) and bespoke modelling are core to producing defensible PPA outcomes that withstand auditor and tax scrutiny.</w:t>
      </w:r>
      <w:r/>
    </w:p>
    <w:p>
      <w:r/>
      <w:r>
        <w:t>Financial forecasting completes the deal lifecycle by turning the transaction into a management roadmap. High-quality forecasts in Norway integrate three-way modelling (profit and loss, balance sheet and cash flow), sensitivity testing and scenario planning to reflect potential swings in electricity prices, labour costs or export tariffs. This forward work is also material to lenders and capital providers; Aviaan’s account of securing a Nordic debt facility using a forecast stressed for raw-material inflation illustrates how scenario analysis can be decisive in financing outcomes.</w:t>
      </w:r>
      <w:r/>
    </w:p>
    <w:p>
      <w:r/>
      <w:r>
        <w:t>A growing advisory ecosystem supports these capabilities. International and domestic firms have expanded Norwegian valuation and transaction advisory capacity: Colliers Nordics recruited a leading valuation team in July 2024 to bolster its local offering; Deloitte and PwC provide established valuation, modelling and FDD services; and domestic specialists such as Sensis AS focus on mid-market transactions and hands-on deal execution. The supply of trained specialists is supported by Norwegian academia , courses in valuation appear at institutions such as the Norwegian School of Economics and Oslo Metropolitan University, equipping graduates with DCF, relative valuation and cost-of-capital techniques relevant to equity research, investment banking and corporate finance roles.</w:t>
      </w:r>
      <w:r/>
    </w:p>
    <w:p>
      <w:r/>
      <w:r>
        <w:t>Illustrative deal work highlights how the four pillars interact. In a recent renewable-technology acquisition in Bergen described by Aviaan, a detailed FDD revealed that 20% of reported revenue stemmed from a terminating oil-and-gas contract and that SkatteFUNN R&amp;D tax credits had been underaccrued. A segmented DCF that isolated the renewables business supported a premium valuation for IP, while post-close PPA assigned clear amortisation profiles to the recognised intangibles. The buyer secured a debt facility after the forecast model incorporated sensitivity analysis for steel and semiconductor inflation; the FDD findings also delivered a NOK 15m reduction in the final purchase price. Such cases show how integrated advisory reduces information silos, refines negotiation positions and aligns accounting, tax and financing outcomes.</w:t>
      </w:r>
      <w:r/>
    </w:p>
    <w:p>
      <w:r/>
      <w:r>
        <w:t>For investors and corporates operating in Norway, the practical implications are clear. Valuations must be defensible to auditors and tax authorities and responsive to sector shifts; FDD must probe beyond headline earnings to unearth contingent liabilities; PPA must translate identified assets into compliant IFRS treatment and tax planning; and forecasting must stress-test assumptions against the volatility inherent in commodity-linked and transition sectors. According to Aviaan’s presentation of its services, combining these disciplines into a single advisory workflow produces “actionable intelligence” rather than standalone outputs , a claim that, given the transaction examples and the capabilities described by other market participants, reflects an accepted model for high-quality deals in Norway.</w:t>
      </w:r>
      <w:r/>
    </w:p>
    <w:p>
      <w:r/>
      <w:r>
        <w:t>In a market built on transparency and long-term stewardship, the interplay of valuation, due diligence, PPA and forecasting is the compass for navigating complexity. Whether preparing a domestic exit or underwriting an international entry into the Nordics, rigorous application of these pillars , supported by local expertise, recognised valuation standards and scenario-driven forecasting , materially improves the odds of achieving strategic and financial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https://aviaanaccounting.com/business-valuation-fdd-ppa-and-financial-forecasting-services-in-norway/</w:t>
        </w:r>
      </w:hyperlink>
      <w:r>
        <w:t xml:space="preserve"> - Please view link - unable to able to access data</w:t>
      </w:r>
      <w:r/>
    </w:p>
    <w:p>
      <w:pPr>
        <w:pStyle w:val="ListNumber"/>
        <w:spacing w:line="240" w:lineRule="auto"/>
        <w:ind w:left="720"/>
      </w:pPr>
      <w:r/>
      <w:hyperlink r:id="rId11">
        <w:r>
          <w:rPr>
            <w:color w:val="0000EE"/>
            <w:u w:val="single"/>
          </w:rPr>
          <w:t>https://www.colliers.com/en-no/news/colliers-agrees-appointment-of-leading-valuation-team-to-its-norway-business</w:t>
        </w:r>
      </w:hyperlink>
      <w:r>
        <w:t xml:space="preserve"> - In July 2024, Colliers Nordics expanded its services by recruiting five highly experienced individuals from Cushman and Wakefield Realkapital. This strategic move aims to position Colliers among industry leaders in valuation and strategic advisory for commercial real estate in Norway. The new team will enhance Colliers' capabilities, allowing the firm to offer a broader range of services and provide greater value to both domestic and international clients. (</w:t>
      </w:r>
      <w:hyperlink r:id="rId12">
        <w:r>
          <w:rPr>
            <w:color w:val="0000EE"/>
            <w:u w:val="single"/>
          </w:rPr>
          <w:t>colliers.com</w:t>
        </w:r>
      </w:hyperlink>
      <w:r>
        <w:t>)</w:t>
      </w:r>
      <w:r/>
    </w:p>
    <w:p>
      <w:pPr>
        <w:pStyle w:val="ListNumber"/>
        <w:spacing w:line="240" w:lineRule="auto"/>
        <w:ind w:left="720"/>
      </w:pPr>
      <w:r/>
      <w:hyperlink r:id="rId13">
        <w:r>
          <w:rPr>
            <w:color w:val="0000EE"/>
            <w:u w:val="single"/>
          </w:rPr>
          <w:t>https://www.bi.no/en/programmes-and-individual-courses/courses/master-of-science/corporate-valuation/</w:t>
        </w:r>
      </w:hyperlink>
      <w:r>
        <w:t xml:space="preserve"> - The Norwegian School of Economics (NHH) offers a course titled 'Valuation' (FIE437) that covers advanced valuation techniques used for thorough modeling of a firm's value. The course aims to provide students with advanced knowledge and in-depth understanding of the concepts behind fundamental value, including topics such as discounted cash flow (DCF), relative valuation, and cost of capital. It is relevant for students seeking careers in equity research, investment banking, management consulting, and larger corporations in Norway and internationally. (</w:t>
      </w:r>
      <w:hyperlink r:id="rId14">
        <w:r>
          <w:rPr>
            <w:color w:val="0000EE"/>
            <w:u w:val="single"/>
          </w:rPr>
          <w:t>nhh.no</w:t>
        </w:r>
      </w:hyperlink>
      <w:r>
        <w:t>)</w:t>
      </w:r>
      <w:r/>
    </w:p>
    <w:p>
      <w:pPr>
        <w:pStyle w:val="ListNumber"/>
        <w:spacing w:line="240" w:lineRule="auto"/>
        <w:ind w:left="720"/>
      </w:pPr>
      <w:r/>
      <w:hyperlink r:id="rId15">
        <w:r>
          <w:rPr>
            <w:color w:val="0000EE"/>
            <w:u w:val="single"/>
          </w:rPr>
          <w:t>https://www.oslomet.no/en/study/sam/valuation-accountants</w:t>
        </w:r>
      </w:hyperlink>
      <w:r>
        <w:t xml:space="preserve"> - Oslo Metropolitan University offers a bachelor's course titled 'Valuation for Accountants' (REREV3100) that explores the basics of business valuation. The course aims to provide students with valuation methods from both a conceptual and practical framework. It is intended for exchange students and is taught in English. The course duration is one semester, offering 7.5 ECTS credits, and is available in the autumn semester. (</w:t>
      </w:r>
      <w:hyperlink r:id="rId16">
        <w:r>
          <w:rPr>
            <w:color w:val="0000EE"/>
            <w:u w:val="single"/>
          </w:rPr>
          <w:t>oslomet.no</w:t>
        </w:r>
      </w:hyperlink>
      <w:r>
        <w:t>)</w:t>
      </w:r>
      <w:r/>
    </w:p>
    <w:p>
      <w:pPr>
        <w:pStyle w:val="ListNumber"/>
        <w:spacing w:line="240" w:lineRule="auto"/>
        <w:ind w:left="720"/>
      </w:pPr>
      <w:r/>
      <w:hyperlink r:id="rId17">
        <w:r>
          <w:rPr>
            <w:color w:val="0000EE"/>
            <w:u w:val="single"/>
          </w:rPr>
          <w:t>https://www.deloitte.com/no/no/services/consulting-financial/services/valuation-modelling-services.html</w:t>
        </w:r>
      </w:hyperlink>
      <w:r>
        <w:t xml:space="preserve"> - Deloitte Norway provides valuation and modelling services that include business valuations for various purposes, such as tax, reorganization, transactions, disputes, and valuation of options and other financial instruments. Their valuations are based on well-recognized frameworks, including discounted cash flow models, multiples, and option pricing models. Additionally, Deloitte offers model development services, creating bespoke financial models for forecasting and simulation purposes. (</w:t>
      </w:r>
      <w:hyperlink r:id="rId18">
        <w:r>
          <w:rPr>
            <w:color w:val="0000EE"/>
            <w:u w:val="single"/>
          </w:rPr>
          <w:t>deloitte.com</w:t>
        </w:r>
      </w:hyperlink>
      <w:r>
        <w:t>)</w:t>
      </w:r>
      <w:r/>
    </w:p>
    <w:p>
      <w:pPr>
        <w:pStyle w:val="ListNumber"/>
        <w:spacing w:line="240" w:lineRule="auto"/>
        <w:ind w:left="720"/>
      </w:pPr>
      <w:r/>
      <w:hyperlink r:id="rId19">
        <w:r>
          <w:rPr>
            <w:color w:val="0000EE"/>
            <w:u w:val="single"/>
          </w:rPr>
          <w:t>https://www.pwc.no/no/tjenester/deals-pwc/financial-due-diligence.html</w:t>
        </w:r>
      </w:hyperlink>
      <w:r>
        <w:t xml:space="preserve"> - PwC Norway offers financial due diligence services aimed at maximizing the value of transactions, including acquisitions, sales, strategic alliances, and capital raising. Their approach is tailored to each specific transaction and client needs, combining financial, commercial, and operational expertise with data-driven insights. PwC's services include financial due diligence, vendor due diligence, M&amp;A due diligence, ESG due diligence, and support for sales and purchase agreements. (</w:t>
      </w:r>
      <w:hyperlink r:id="rId20">
        <w:r>
          <w:rPr>
            <w:color w:val="0000EE"/>
            <w:u w:val="single"/>
          </w:rPr>
          <w:t>pwc.no</w:t>
        </w:r>
      </w:hyperlink>
      <w:r>
        <w:t>)</w:t>
      </w:r>
      <w:r/>
    </w:p>
    <w:p>
      <w:pPr>
        <w:pStyle w:val="ListNumber"/>
        <w:spacing w:line="240" w:lineRule="auto"/>
        <w:ind w:left="720"/>
      </w:pPr>
      <w:r/>
      <w:hyperlink r:id="rId21">
        <w:r>
          <w:rPr>
            <w:color w:val="0000EE"/>
            <w:u w:val="single"/>
          </w:rPr>
          <w:t>https://www.sensis.no/</w:t>
        </w:r>
      </w:hyperlink>
      <w:r>
        <w:t xml:space="preserve"> - Sensis AS is a Norwegian corporate finance firm specializing in company transactions ranging from NOK 50 million to 500 million. They offer hands-on project management throughout the entire sale or purchase process, from developing transaction strategy to closing. Sensis provides services such as sell-side advisory, ownership evaluation, buy-side advisory, and valuation and modelling. Their team has extensive experience in providing valuations for various purposes, including tax, reorganization, transactions, disputes, and valuation of options and other financial instruments. (</w:t>
      </w:r>
      <w:hyperlink r:id="rId22">
        <w:r>
          <w:rPr>
            <w:color w:val="0000EE"/>
            <w:u w:val="single"/>
          </w:rPr>
          <w:t>sensis.no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viaanaccounting.com/business-valuation-fdd-ppa-and-financial-forecasting-services-in-norway/" TargetMode="External"/><Relationship Id="rId11" Type="http://schemas.openxmlformats.org/officeDocument/2006/relationships/hyperlink" Target="https://www.colliers.com/en-no/news/colliers-agrees-appointment-of-leading-valuation-team-to-its-norway-business" TargetMode="External"/><Relationship Id="rId12" Type="http://schemas.openxmlformats.org/officeDocument/2006/relationships/hyperlink" Target="https://www.colliers.com/en-no/news/colliers-agrees-appointment-of-leading-valuation-team-to-its-norway-business?utm_source=openai" TargetMode="External"/><Relationship Id="rId13" Type="http://schemas.openxmlformats.org/officeDocument/2006/relationships/hyperlink" Target="https://www.bi.no/en/programmes-and-individual-courses/courses/master-of-science/corporate-valuation/" TargetMode="External"/><Relationship Id="rId14" Type="http://schemas.openxmlformats.org/officeDocument/2006/relationships/hyperlink" Target="https://www.nhh.no/en/courses/valuation/?utm_source=openai" TargetMode="External"/><Relationship Id="rId15" Type="http://schemas.openxmlformats.org/officeDocument/2006/relationships/hyperlink" Target="https://www.oslomet.no/en/study/sam/valuation-accountants" TargetMode="External"/><Relationship Id="rId16" Type="http://schemas.openxmlformats.org/officeDocument/2006/relationships/hyperlink" Target="https://www.oslomet.no/en/study/sam/valuation-accountants?utm_source=openai" TargetMode="External"/><Relationship Id="rId17" Type="http://schemas.openxmlformats.org/officeDocument/2006/relationships/hyperlink" Target="https://www.deloitte.com/no/no/services/consulting-financial/services/valuation-modelling-services.html" TargetMode="External"/><Relationship Id="rId18" Type="http://schemas.openxmlformats.org/officeDocument/2006/relationships/hyperlink" Target="https://www.deloitte.com/no/no/services/consulting-financial/services/valuation-modelling-services.html?utm_source=openai" TargetMode="External"/><Relationship Id="rId19" Type="http://schemas.openxmlformats.org/officeDocument/2006/relationships/hyperlink" Target="https://www.pwc.no/no/tjenester/deals-pwc/financial-due-diligence.html" TargetMode="External"/><Relationship Id="rId20" Type="http://schemas.openxmlformats.org/officeDocument/2006/relationships/hyperlink" Target="https://www.pwc.no/no/tjenester/deals-pwc/financial-due-diligence.html?utm_source=openai" TargetMode="External"/><Relationship Id="rId21" Type="http://schemas.openxmlformats.org/officeDocument/2006/relationships/hyperlink" Target="https://www.sensis.no/" TargetMode="External"/><Relationship Id="rId22" Type="http://schemas.openxmlformats.org/officeDocument/2006/relationships/hyperlink" Target="https://www.sensis.n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