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Pharmaceutical industry braces for disruptive revenue shift as patent cliff accelerates towards 2030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pharmaceutical sector is entering a period of structural revenue upheaval as an unprecedented wave of patent expirations converges between 2025 and 2030. According to analysis by DrugPatentWatch, almost 200 high‑revenue drugs will see their exclusivity lapse in that window, putting roughly $400 billion a year of sales at risk and creating what the firm calls “Patent Cliff 2.0”. GlobalData concurs that the proportion of global drug sales protected by patents will fall sharply by 2030, with high‑value biologics and oncology among the most exposed. Together, these shifts will force both brand and supply‑side firms to change how they prize, protect and monetise assets.</w:t>
      </w:r>
      <w:r/>
    </w:p>
    <w:p>
      <w:r/>
      <w:r>
        <w:t>The legal architecture that makes this transition predictable is the set of statutory pathways created under the Hatch‑Waxman framework. The FDA and commentators mark the 1984 Act as the origin of the Abbreviated New Drug Application (ANDA) route that enables generics to rely on a reference product’s safety and efficacy data, accelerating market entry and dramatically lowering development cost. The result has been a modern generics ecosystem in which substituted medicines now account for the vast majority of U.S. prescriptions, and where regulatory signals drive commercial behaviour years in advance of physical launches.</w:t>
      </w:r>
      <w:r/>
    </w:p>
    <w:p>
      <w:r/>
      <w:r>
        <w:t>Two features of the regulatory system are particularly important for commercial planners. First, when an ANDA contains a Paragraph IV patent certification , an assertion that a listed patent is invalid, unenforceable or will not be infringed , that filing is treated as an “artificial act of infringement” under U.S. law, enabling the brand owner to sue immediately. DrugPatentWatch describes a Paragraph IV filing as a de‑facto ignition switch for high‑stakes activity because it identifies the most aggressive generic challengers and the firms likely to require manufacturing capacity. Second, the NCE‑1 milestone permits a generic applicant to file with a Paragraph IV certification exactly four years after an originator’s approval (one year earlier than the standard five‑year bar), making the first complete filer eligible for 180 days of exclusivity , a brief interval that can capture an outsized share of lifetime profits.</w:t>
      </w:r>
      <w:r/>
    </w:p>
    <w:p>
      <w:r/>
      <w:r>
        <w:t>The economic mechanics are stark. Small‑molecule brands can lose 80–90% of sales within a year of generic substitution, while biologics tend to decline along a “managed slope” as substitution is slower and clinician/patient inertia preserves market share. DrugPatentWatch notes that examples from recent years show biologic declines can still be steep , a cited case recorded a 41% drop after loss of exclusivity , but the cadence and competitive dynamics differ. Price erosion correlates tightly with the number of entrants: a lone generic can produce modest discounts and a temporary duopoly; multiple competitors quickly drive commoditisation and extreme margin compression.</w:t>
      </w:r>
      <w:r/>
    </w:p>
    <w:p>
      <w:r/>
      <w:r>
        <w:t>For suppliers of active pharmaceutical ingredients, contract manufacturers and delivery‑technology vendors, the coming wave represents a long, discernible pipeline of commercial opportunities , but only for those who act early. DrugPatentWatch and industry analysts recommend shifting business development outreach 18–36 months upstream of a loss‑of‑exclusivity (LOE) event. That timetable recognises what the articles term the “24‑month stability wall”: reformulation or other life‑cycle defence measures require roughly two years to generate stability data and obtain regulatory clearance. Missing that window leaves brand teams unable to field a protected replacement before generics begin their market incursion.</w:t>
      </w:r>
      <w:r/>
    </w:p>
    <w:p>
      <w:r/>
      <w:r>
        <w:t>Practical commercial playbooks divide the LOE lifecycle into discrete phases. In the five stages outlined by DrugPatentWatch, brands commence lifecycle defence three to five years before LOE; generic challengers file and litigate two to three years out; operational ramping and tech‑transfer occupy the 12–18 months before launch; the first year after LOE is the launch shock; and beyond 12 months post‑LOE firms reposition or divest the now mature asset. Suppliers that can present validated timelines, capacity guarantees and early stability services stand to secure multi‑year revenue relationships tied to these stages.</w:t>
      </w:r>
      <w:r/>
    </w:p>
    <w:p>
      <w:r/>
      <w:r>
        <w:t>Regulatory and enforcement trends are reshaping those timelines. The Federal Trade Commission has intensified scrutiny of patents listed in the FDA’s Orange Book, targeting device and combination patents that it regards as improperly included and therefore capable of delaying generic entry via automatic stays. Legal disputes over what constitutes a “drug product” for Orange Book inclusion have prompted delistings and settlements, and the FTC’s campaign has already challenged hundreds of listings at several major companies. These developments accelerate possible generic entry in some markets and shift the balance of leverage between originators and challengers.</w:t>
      </w:r>
      <w:r/>
    </w:p>
    <w:p>
      <w:r/>
      <w:r>
        <w:t>Innovator firms are responding with lifecycle tactics that extend commercial viability. Examples include switching patients to new delivery modalities , the so‑called subcutaneous pivot , and securing patents on delivery technologies or new indications filed through pathways such as 505(b)(2). DrugPatentWatch highlights an industry example in which a large oncology product was reformulated into a subcutaneous form and migrated a substantial portion of its patient base, preserving material revenue and extending protection for the delivery patents.</w:t>
      </w:r>
      <w:r/>
    </w:p>
    <w:p>
      <w:r/>
      <w:r>
        <w:t>Data and analytics are central to competing successfully. Industry studies and corporate reports cited by DrugPatentWatch indicate that organisations that integrate patent intelligence into commercial and R&amp;D workflows see measurable gains: faster target validation, fewer late‑stage failures and, for some contract manufacturers, high multiples of return on modest investments in analytics. AI‑enabled monitoring of ANDA filings, Paragraph IV certifications and litigation dockets reduces manual work and produces the real‑time signals that allow suppliers to bid into deals years ahead of manufacture.</w:t>
      </w:r>
      <w:r/>
    </w:p>
    <w:p>
      <w:r/>
      <w:r>
        <w:t>For investors and managers, the valuation implications are profound. Small changes in expected launch timing , delays or accelerations of months , translate into hundreds of millions of dollars of value swing under standard risk‑adjusted net present value models. That sensitivity explains the intensity of Paragraph IV litigation, at‑risk launches and settlement negotiations that now sit centre stage in the industry’s competitive drama.</w:t>
      </w:r>
      <w:r/>
    </w:p>
    <w:p>
      <w:r/>
      <w:r>
        <w:t>The coming half‑decade will therefore be defined less by surprise and more by preparation. Firms that convert patent‑expiry data into timely commercial action, that recognise regulatory shifts such as the FTC’s challenge to Orange Book practices, and that provide the technical and manufacturing capabilities to support early launches will convert a looming revenue vacuum into repeatable growth. Those that treat LOE as late‑breaking news will find their negotiating power, and their profit pools, steadily eroded.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https://www.drugpatentwatch.com/blog/sell-to-pharma-using-patent-timelines/</w:t>
        </w:r>
      </w:hyperlink>
      <w:r>
        <w:t xml:space="preserve"> - Please view link - unable to able to access data</w:t>
      </w:r>
      <w:r/>
    </w:p>
    <w:p>
      <w:pPr>
        <w:pStyle w:val="ListNumber"/>
        <w:spacing w:line="240" w:lineRule="auto"/>
        <w:ind w:left="720"/>
      </w:pPr>
      <w:r/>
      <w:hyperlink r:id="rId11">
        <w:r>
          <w:rPr>
            <w:color w:val="0000EE"/>
            <w:u w:val="single"/>
          </w:rPr>
          <w:t>https://www.globaldata.com/media/strategic-intelligence/patent-cliff-looms-over-global-pharma-industry-says-globaldata/</w:t>
        </w:r>
      </w:hyperlink>
      <w:r>
        <w:t xml:space="preserve"> - GlobalData reports that the pharmaceutical industry is facing a significant patent cliff, with a sharp decline in the proportion of global drug sales protected by patents by 2030. This trend is expected to create substantial revenue and pricing pressures across the industry, as several blockbuster drugs lose market exclusivity, increasing exposure to biosimilar and generic competition. Oncology and other therapy areas dominated by high-value biologics are expected to be among the most exposed. The report emphasizes the need for pharmaceutical companies to focus on lifecycle management strategies to mitigate the impact of lost exclusivity.</w:t>
      </w:r>
      <w:r/>
    </w:p>
    <w:p>
      <w:pPr>
        <w:pStyle w:val="ListNumber"/>
        <w:spacing w:line="240" w:lineRule="auto"/>
        <w:ind w:left="720"/>
      </w:pPr>
      <w:r/>
      <w:hyperlink r:id="rId12">
        <w:r>
          <w:rPr>
            <w:color w:val="0000EE"/>
            <w:u w:val="single"/>
          </w:rPr>
          <w:t>https://www.fda.gov/drugs/cder-conversations/40th-anniversary-generic-drug-approval-pathway</w:t>
        </w:r>
      </w:hyperlink>
      <w:r>
        <w:t xml:space="preserve"> - The FDA celebrates the 40th anniversary of the Hatch-Waxman Amendments, which established the approval pathway for generic drug products under section 505(j) of the Federal Food, Drug, and Cosmetic Act. These amendments have significantly increased the availability of generic drugs, with generics now accounting for more than 90% of prescriptions filled in the U.S. The Hatch-Waxman Amendments balance the interests of brand-name pharmaceutical companies and generic drug manufacturers, facilitating market entry for generics while providing incentives for innovation.</w:t>
      </w:r>
      <w:r/>
    </w:p>
    <w:p>
      <w:pPr>
        <w:pStyle w:val="ListNumber"/>
        <w:spacing w:line="240" w:lineRule="auto"/>
        <w:ind w:left="720"/>
      </w:pPr>
      <w:r/>
      <w:hyperlink r:id="rId13">
        <w:r>
          <w:rPr>
            <w:color w:val="0000EE"/>
            <w:u w:val="single"/>
          </w:rPr>
          <w:t>https://www.allhealthpolicy.org/glossary/hatch-waxman-act</w:t>
        </w:r>
      </w:hyperlink>
      <w:r>
        <w:t xml:space="preserve"> - The Hatch-Waxman Act, enacted in 1984, was designed to increase competition in the pharmaceutical market by balancing the interests of brand-name pharmaceutical companies and generic drug manufacturers. The Act introduced the abbreviated new drug application (ANDA) process, allowing generic drug manufacturers to bring products to market more quickly once the patent for an original brand-name drug expired. It also established procedures for resolving patent disputes arising from applications to market generic drugs, significantly increasing the availability of generic drugs and reducing costs for consumers.</w:t>
      </w:r>
      <w:r/>
    </w:p>
    <w:p>
      <w:pPr>
        <w:pStyle w:val="ListNumber"/>
        <w:spacing w:line="240" w:lineRule="auto"/>
        <w:ind w:left="720"/>
      </w:pPr>
      <w:r/>
      <w:hyperlink r:id="rId14">
        <w:r>
          <w:rPr>
            <w:color w:val="0000EE"/>
            <w:u w:val="single"/>
          </w:rPr>
          <w:t>https://www.fda.gov/drugs/abbreviated-new-drug-application-anda/hatch-waxman-letters</w:t>
        </w:r>
      </w:hyperlink>
      <w:r>
        <w:t xml:space="preserve"> - The FDA provides information on the Hatch-Waxman Amendments, which established the approval pathway for generic drug products under section 505(j) of the Federal Food, Drug, and Cosmetic Act. These amendments include provisions involving patents and exclusivities related to new drug applications, and 180-day exclusivity for certain ANDA applicants. The FDA's communications related to such decisions are published to provide transparency and guidance to stakeholders in the pharmaceutical industry.</w:t>
      </w:r>
      <w:r/>
    </w:p>
    <w:p>
      <w:pPr>
        <w:pStyle w:val="ListNumber"/>
        <w:spacing w:line="240" w:lineRule="auto"/>
        <w:ind w:left="720"/>
      </w:pPr>
      <w:r/>
      <w:hyperlink r:id="rId15">
        <w:r>
          <w:rPr>
            <w:color w:val="0000EE"/>
            <w:u w:val="single"/>
          </w:rPr>
          <w:t>https://www.brookings.edu/events/hatch-waxman-at-40/</w:t>
        </w:r>
      </w:hyperlink>
      <w:r>
        <w:t xml:space="preserve"> - The Brookings Institution hosted an event titled 'Hatch-Waxman at 40' to discuss the impact of the Hatch-Waxman Act, which was signed into law in September 1984. The Act attempts to balance lower prices through generic competition with innovation incentives to brands by lowering barriers to entry for generics and granting various new exclusivities to the brands. The event highlighted the significant savings obtained from drugs that experienced patent expiration and patent term lengthening over the first 25 years following the Act's enactment.</w:t>
      </w:r>
      <w:r/>
    </w:p>
    <w:p>
      <w:pPr>
        <w:pStyle w:val="ListNumber"/>
        <w:spacing w:line="240" w:lineRule="auto"/>
        <w:ind w:left="720"/>
      </w:pPr>
      <w:r/>
      <w:hyperlink r:id="rId16">
        <w:r>
          <w:rPr>
            <w:color w:val="0000EE"/>
            <w:u w:val="single"/>
          </w:rPr>
          <w:t>https://www.youtube.com/watch?v=Zku4Txlshk8</w:t>
        </w:r>
      </w:hyperlink>
      <w:r>
        <w:t xml:space="preserve"> - This video explains the Drug Price Competition and Patent Term Restoration Act of 1984, also known as the 'Hatch-Waxman Act,' which made it easier for generic drugs to enter the market. The Act allows generic drugmakers to start research and development on generics prior to the patent expiration of the brand-name drug without risk of patent infringement. In return, brand-name drugmakers were given a patent extension—five extra years of market exclusivity on their drug. The video also discusses other patent extensions used to delay generic drug entry and their effects on consumers.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rugpatentwatch.com/blog/sell-to-pharma-using-patent-timelines/" TargetMode="External"/><Relationship Id="rId11" Type="http://schemas.openxmlformats.org/officeDocument/2006/relationships/hyperlink" Target="https://www.globaldata.com/media/strategic-intelligence/patent-cliff-looms-over-global-pharma-industry-says-globaldata/" TargetMode="External"/><Relationship Id="rId12" Type="http://schemas.openxmlformats.org/officeDocument/2006/relationships/hyperlink" Target="https://www.fda.gov/drugs/cder-conversations/40th-anniversary-generic-drug-approval-pathway" TargetMode="External"/><Relationship Id="rId13" Type="http://schemas.openxmlformats.org/officeDocument/2006/relationships/hyperlink" Target="https://www.allhealthpolicy.org/glossary/hatch-waxman-act" TargetMode="External"/><Relationship Id="rId14" Type="http://schemas.openxmlformats.org/officeDocument/2006/relationships/hyperlink" Target="https://www.fda.gov/drugs/abbreviated-new-drug-application-anda/hatch-waxman-letters" TargetMode="External"/><Relationship Id="rId15" Type="http://schemas.openxmlformats.org/officeDocument/2006/relationships/hyperlink" Target="https://www.brookings.edu/events/hatch-waxman-at-40/" TargetMode="External"/><Relationship Id="rId16" Type="http://schemas.openxmlformats.org/officeDocument/2006/relationships/hyperlink" Target="https://www.youtube.com/watch?v=Zku4Txlshk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